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D93" w:rsidRDefault="005127CA" w:rsidP="005127CA">
      <w:pPr>
        <w:pStyle w:val="01NPrograma"/>
        <w:rPr>
          <w:rFonts w:cs="Arial"/>
          <w:szCs w:val="22"/>
        </w:rPr>
      </w:pPr>
      <w:bookmarkStart w:id="0" w:name="_GoBack"/>
      <w:bookmarkEnd w:id="0"/>
      <w:r w:rsidRPr="00FF39EA">
        <w:t xml:space="preserve">PROGrama  </w:t>
      </w:r>
      <w:r w:rsidRPr="00542EED">
        <w:rPr>
          <w:rFonts w:cs="Arial"/>
          <w:szCs w:val="22"/>
        </w:rPr>
        <w:t>42KD</w:t>
      </w:r>
    </w:p>
    <w:p w:rsidR="00A05D93" w:rsidRPr="003147EC" w:rsidRDefault="005127CA" w:rsidP="003147EC">
      <w:pPr>
        <w:pStyle w:val="05Activid-Obj-Indicador"/>
        <w:spacing w:line="360" w:lineRule="auto"/>
        <w:jc w:val="center"/>
        <w:rPr>
          <w:rFonts w:cs="Arial"/>
          <w:szCs w:val="22"/>
          <w:u w:val="single"/>
        </w:rPr>
      </w:pPr>
      <w:r w:rsidRPr="00DD4702">
        <w:rPr>
          <w:rFonts w:cs="Arial"/>
          <w:szCs w:val="22"/>
        </w:rPr>
        <w:t>C11</w:t>
      </w:r>
      <w:r w:rsidR="00DD4702">
        <w:rPr>
          <w:rFonts w:cs="Arial"/>
          <w:szCs w:val="22"/>
        </w:rPr>
        <w:t xml:space="preserve"> </w:t>
      </w:r>
      <w:r w:rsidRPr="003147EC">
        <w:rPr>
          <w:rFonts w:cs="Arial"/>
          <w:szCs w:val="22"/>
          <w:u w:val="single"/>
        </w:rPr>
        <w:t>4</w:t>
      </w:r>
      <w:r w:rsidR="0002563A" w:rsidRPr="003147EC">
        <w:rPr>
          <w:rFonts w:cs="Arial"/>
          <w:szCs w:val="22"/>
          <w:u w:val="single"/>
        </w:rPr>
        <w:t xml:space="preserve"> </w:t>
      </w:r>
      <w:r w:rsidR="00AA7FAD" w:rsidRPr="006C555A">
        <w:rPr>
          <w:rFonts w:cs="Arial"/>
          <w:szCs w:val="22"/>
          <w:u w:val="single"/>
        </w:rPr>
        <w:t>PLAN DE TRANSICIÓN ENERGÉTICA EN LA ADMINISTRACIÓN GENERAL DEL ESTADO</w:t>
      </w:r>
    </w:p>
    <w:p w:rsidR="00CC19B3" w:rsidRDefault="00A05D93" w:rsidP="003147EC">
      <w:pPr>
        <w:pStyle w:val="05Activid-Obj-Indicador"/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1. </w:t>
      </w:r>
      <w:r w:rsidRPr="00FA6370">
        <w:rPr>
          <w:rFonts w:cs="Arial"/>
          <w:szCs w:val="22"/>
        </w:rPr>
        <w:t>DENOMINACIÓN DEL COMPONENT</w:t>
      </w:r>
      <w:r>
        <w:rPr>
          <w:rFonts w:cs="Arial"/>
          <w:szCs w:val="22"/>
        </w:rPr>
        <w:t>E</w:t>
      </w:r>
      <w:r w:rsidRPr="00FA6370">
        <w:rPr>
          <w:rFonts w:cs="Arial"/>
          <w:szCs w:val="22"/>
        </w:rPr>
        <w:t xml:space="preserve"> </w:t>
      </w:r>
    </w:p>
    <w:p w:rsidR="006B3B9E" w:rsidRDefault="00A05D93" w:rsidP="00CC19B3">
      <w:pPr>
        <w:pStyle w:val="05Activid-Obj-Indicador"/>
        <w:tabs>
          <w:tab w:val="clear" w:pos="426"/>
          <w:tab w:val="left" w:pos="0"/>
        </w:tabs>
        <w:spacing w:beforeLines="30" w:before="72" w:line="360" w:lineRule="auto"/>
        <w:rPr>
          <w:rFonts w:eastAsiaTheme="minorHAnsi" w:cs="Arial"/>
          <w:b w:val="0"/>
          <w:szCs w:val="22"/>
          <w:lang w:val="es-ES" w:eastAsia="en-US"/>
        </w:rPr>
      </w:pPr>
      <w:r>
        <w:rPr>
          <w:rFonts w:eastAsiaTheme="minorHAnsi" w:cs="Arial"/>
          <w:b w:val="0"/>
          <w:szCs w:val="22"/>
          <w:lang w:val="es-ES" w:eastAsia="en-US"/>
        </w:rPr>
        <w:tab/>
      </w:r>
      <w:r w:rsidR="008456F8" w:rsidRPr="00CC19B3">
        <w:rPr>
          <w:rFonts w:eastAsiaTheme="minorHAnsi" w:cs="Arial"/>
          <w:b w:val="0"/>
          <w:szCs w:val="22"/>
          <w:lang w:val="es-ES" w:eastAsia="en-US"/>
        </w:rPr>
        <w:t xml:space="preserve"> Modernización de las Administraciones Públicas</w:t>
      </w:r>
    </w:p>
    <w:p w:rsidR="00A05D93" w:rsidRPr="00CC19B3" w:rsidRDefault="00A05D93" w:rsidP="00CC19B3">
      <w:pPr>
        <w:pStyle w:val="05Activid-Obj-Indicador"/>
        <w:tabs>
          <w:tab w:val="clear" w:pos="426"/>
          <w:tab w:val="left" w:pos="0"/>
        </w:tabs>
        <w:spacing w:beforeLines="30" w:before="72" w:line="360" w:lineRule="auto"/>
        <w:rPr>
          <w:rFonts w:eastAsiaTheme="minorHAnsi" w:cs="Arial"/>
          <w:b w:val="0"/>
          <w:szCs w:val="22"/>
          <w:lang w:val="es-ES" w:eastAsia="en-US"/>
        </w:rPr>
      </w:pPr>
    </w:p>
    <w:p w:rsidR="00394E49" w:rsidRPr="00FA6370" w:rsidRDefault="00394E49" w:rsidP="008456F8">
      <w:pPr>
        <w:pStyle w:val="05Activid-Obj-Indicador"/>
        <w:tabs>
          <w:tab w:val="clear" w:pos="426"/>
          <w:tab w:val="left" w:pos="0"/>
        </w:tabs>
        <w:spacing w:before="30" w:line="360" w:lineRule="auto"/>
        <w:rPr>
          <w:rFonts w:cs="Arial"/>
          <w:szCs w:val="22"/>
        </w:rPr>
      </w:pPr>
      <w:r w:rsidRPr="00FA6370">
        <w:rPr>
          <w:rFonts w:cs="Arial"/>
          <w:szCs w:val="22"/>
        </w:rPr>
        <w:t>2.</w:t>
      </w:r>
      <w:r w:rsidR="00A05D93">
        <w:rPr>
          <w:rFonts w:cs="Arial"/>
          <w:szCs w:val="22"/>
        </w:rPr>
        <w:t xml:space="preserve"> </w:t>
      </w:r>
      <w:r w:rsidR="00A05D93" w:rsidRPr="00FA6370">
        <w:rPr>
          <w:rFonts w:cs="Arial"/>
          <w:szCs w:val="22"/>
        </w:rPr>
        <w:t>DESCRIPCIÓN GENERAL DEL COMPONENTE</w:t>
      </w:r>
    </w:p>
    <w:p w:rsidR="006B3B9E" w:rsidRPr="00FA6370" w:rsidRDefault="00A05D93" w:rsidP="008456F8">
      <w:pPr>
        <w:pStyle w:val="Prrafodelista"/>
        <w:tabs>
          <w:tab w:val="left" w:pos="0"/>
        </w:tabs>
        <w:spacing w:line="360" w:lineRule="auto"/>
        <w:ind w:left="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3C7387">
        <w:rPr>
          <w:rFonts w:ascii="Arial" w:hAnsi="Arial" w:cs="Arial"/>
          <w:sz w:val="22"/>
          <w:szCs w:val="22"/>
          <w:u w:val="single"/>
        </w:rPr>
        <w:t>Plan de transición energética en la Administración General del Estado</w:t>
      </w:r>
      <w:r w:rsidR="005F17B2" w:rsidRPr="00FA6370">
        <w:rPr>
          <w:rFonts w:ascii="Arial" w:hAnsi="Arial" w:cs="Arial"/>
          <w:sz w:val="22"/>
          <w:szCs w:val="22"/>
          <w:u w:val="single"/>
        </w:rPr>
        <w:t>:</w:t>
      </w:r>
      <w:r w:rsidR="005F17B2" w:rsidRPr="00FA6370">
        <w:rPr>
          <w:rFonts w:ascii="Arial" w:hAnsi="Arial" w:cs="Arial"/>
          <w:sz w:val="22"/>
          <w:szCs w:val="22"/>
        </w:rPr>
        <w:t xml:space="preserve"> “</w:t>
      </w:r>
      <w:r w:rsidR="006B3B9E" w:rsidRPr="00FA6370">
        <w:rPr>
          <w:rFonts w:ascii="Arial" w:hAnsi="Arial" w:cs="Arial"/>
          <w:sz w:val="22"/>
          <w:szCs w:val="22"/>
        </w:rPr>
        <w:t>Justicia 2030</w:t>
      </w:r>
      <w:r w:rsidR="005F17B2" w:rsidRPr="00FA6370">
        <w:rPr>
          <w:rFonts w:ascii="Arial" w:hAnsi="Arial" w:cs="Arial"/>
          <w:sz w:val="22"/>
          <w:szCs w:val="22"/>
        </w:rPr>
        <w:t>”</w:t>
      </w:r>
      <w:r w:rsidR="0019375F" w:rsidRPr="00FA6370">
        <w:rPr>
          <w:rFonts w:ascii="Arial" w:hAnsi="Arial" w:cs="Arial"/>
          <w:sz w:val="22"/>
          <w:szCs w:val="22"/>
        </w:rPr>
        <w:t xml:space="preserve"> </w:t>
      </w:r>
      <w:r w:rsidR="006B3B9E" w:rsidRPr="00FA6370">
        <w:rPr>
          <w:rFonts w:ascii="Arial" w:hAnsi="Arial" w:cs="Arial"/>
          <w:sz w:val="22"/>
          <w:szCs w:val="22"/>
        </w:rPr>
        <w:t>es un plan de trabajo para diez años cuyo objetivo es la adaptación y mejora de la Administración de Justicia.  En ella se han definido un</w:t>
      </w:r>
      <w:r w:rsidR="008456F8" w:rsidRPr="00FA6370">
        <w:rPr>
          <w:rFonts w:ascii="Arial" w:hAnsi="Arial" w:cs="Arial"/>
          <w:sz w:val="22"/>
          <w:szCs w:val="22"/>
        </w:rPr>
        <w:t>a estr</w:t>
      </w:r>
      <w:r w:rsidR="0030298C">
        <w:rPr>
          <w:rFonts w:ascii="Arial" w:hAnsi="Arial" w:cs="Arial"/>
          <w:sz w:val="22"/>
          <w:szCs w:val="22"/>
        </w:rPr>
        <w:t>uctura de subproyectos (47</w:t>
      </w:r>
      <w:r w:rsidR="006B3B9E" w:rsidRPr="00FA6370">
        <w:rPr>
          <w:rFonts w:ascii="Arial" w:hAnsi="Arial" w:cs="Arial"/>
          <w:sz w:val="22"/>
          <w:szCs w:val="22"/>
        </w:rPr>
        <w:t>) considerados estratégicos por su mayor impacto y su capacidad de influir en la evolución estructural de la Justicia. Los subproyectos se interrelacionan en ocho bloques:</w:t>
      </w:r>
      <w:r w:rsidR="008456F8" w:rsidRPr="00FA6370">
        <w:rPr>
          <w:rFonts w:ascii="Arial" w:hAnsi="Arial" w:cs="Arial"/>
          <w:sz w:val="22"/>
          <w:szCs w:val="22"/>
        </w:rPr>
        <w:t xml:space="preserve"> </w:t>
      </w:r>
      <w:r w:rsidR="006B3B9E" w:rsidRPr="00FA6370">
        <w:rPr>
          <w:rFonts w:ascii="Arial" w:hAnsi="Arial" w:cs="Arial"/>
          <w:sz w:val="22"/>
          <w:szCs w:val="22"/>
        </w:rPr>
        <w:t>Justicia eficiente</w:t>
      </w:r>
      <w:r w:rsidR="008456F8" w:rsidRPr="00FA6370">
        <w:rPr>
          <w:rFonts w:ascii="Arial" w:hAnsi="Arial" w:cs="Arial"/>
          <w:sz w:val="22"/>
          <w:szCs w:val="22"/>
        </w:rPr>
        <w:t xml:space="preserve">, </w:t>
      </w:r>
      <w:r w:rsidR="006B3B9E" w:rsidRPr="00FA6370">
        <w:rPr>
          <w:rFonts w:ascii="Arial" w:hAnsi="Arial" w:cs="Arial"/>
          <w:sz w:val="22"/>
          <w:szCs w:val="22"/>
        </w:rPr>
        <w:t>Justicia ecológica</w:t>
      </w:r>
      <w:r w:rsidR="008456F8" w:rsidRPr="00FA6370">
        <w:rPr>
          <w:rFonts w:ascii="Arial" w:hAnsi="Arial" w:cs="Arial"/>
          <w:sz w:val="22"/>
          <w:szCs w:val="22"/>
        </w:rPr>
        <w:t xml:space="preserve">, </w:t>
      </w:r>
      <w:r w:rsidR="006B3B9E" w:rsidRPr="00FA6370">
        <w:rPr>
          <w:rFonts w:ascii="Arial" w:hAnsi="Arial" w:cs="Arial"/>
          <w:sz w:val="22"/>
          <w:szCs w:val="22"/>
        </w:rPr>
        <w:t>Justicia para la cohesión</w:t>
      </w:r>
      <w:r w:rsidR="008456F8" w:rsidRPr="00FA6370">
        <w:rPr>
          <w:rFonts w:ascii="Arial" w:hAnsi="Arial" w:cs="Arial"/>
          <w:sz w:val="22"/>
          <w:szCs w:val="22"/>
        </w:rPr>
        <w:t xml:space="preserve">, </w:t>
      </w:r>
      <w:r w:rsidR="006B3B9E" w:rsidRPr="00FA6370">
        <w:rPr>
          <w:rFonts w:ascii="Arial" w:hAnsi="Arial" w:cs="Arial"/>
          <w:sz w:val="22"/>
          <w:szCs w:val="22"/>
        </w:rPr>
        <w:t>Justicia para la recuperación económica</w:t>
      </w:r>
      <w:r w:rsidR="008456F8" w:rsidRPr="00FA6370">
        <w:rPr>
          <w:rFonts w:ascii="Arial" w:hAnsi="Arial" w:cs="Arial"/>
          <w:sz w:val="22"/>
          <w:szCs w:val="22"/>
        </w:rPr>
        <w:t xml:space="preserve">, </w:t>
      </w:r>
      <w:r w:rsidR="006B3B9E" w:rsidRPr="00FA6370">
        <w:rPr>
          <w:rFonts w:ascii="Arial" w:hAnsi="Arial" w:cs="Arial"/>
          <w:sz w:val="22"/>
          <w:szCs w:val="22"/>
        </w:rPr>
        <w:t>Justicia accesible</w:t>
      </w:r>
      <w:r w:rsidR="008456F8" w:rsidRPr="00FA6370">
        <w:rPr>
          <w:rFonts w:ascii="Arial" w:hAnsi="Arial" w:cs="Arial"/>
          <w:sz w:val="22"/>
          <w:szCs w:val="22"/>
        </w:rPr>
        <w:t xml:space="preserve">, </w:t>
      </w:r>
      <w:r w:rsidR="006B3B9E" w:rsidRPr="00FA6370">
        <w:rPr>
          <w:rFonts w:ascii="Arial" w:hAnsi="Arial" w:cs="Arial"/>
          <w:sz w:val="22"/>
          <w:szCs w:val="22"/>
        </w:rPr>
        <w:t>Justicia inteligente</w:t>
      </w:r>
      <w:r w:rsidR="008456F8" w:rsidRPr="00FA6370">
        <w:rPr>
          <w:rFonts w:ascii="Arial" w:hAnsi="Arial" w:cs="Arial"/>
          <w:sz w:val="22"/>
          <w:szCs w:val="22"/>
        </w:rPr>
        <w:t xml:space="preserve">, </w:t>
      </w:r>
      <w:r w:rsidR="006B3B9E" w:rsidRPr="00FA6370">
        <w:rPr>
          <w:rFonts w:ascii="Arial" w:hAnsi="Arial" w:cs="Arial"/>
          <w:sz w:val="22"/>
          <w:szCs w:val="22"/>
        </w:rPr>
        <w:t>Justicia profesional</w:t>
      </w:r>
      <w:r w:rsidR="008456F8" w:rsidRPr="00FA6370">
        <w:rPr>
          <w:rFonts w:ascii="Arial" w:hAnsi="Arial" w:cs="Arial"/>
          <w:sz w:val="22"/>
          <w:szCs w:val="22"/>
        </w:rPr>
        <w:t xml:space="preserve"> y </w:t>
      </w:r>
      <w:r w:rsidR="006B3B9E" w:rsidRPr="00FA6370">
        <w:rPr>
          <w:rFonts w:ascii="Arial" w:hAnsi="Arial" w:cs="Arial"/>
          <w:sz w:val="22"/>
          <w:szCs w:val="22"/>
        </w:rPr>
        <w:t>Justicia cogobernada</w:t>
      </w:r>
      <w:r w:rsidR="008456F8" w:rsidRPr="00FA6370">
        <w:rPr>
          <w:rFonts w:ascii="Arial" w:hAnsi="Arial" w:cs="Arial"/>
          <w:sz w:val="22"/>
          <w:szCs w:val="22"/>
        </w:rPr>
        <w:t>.</w:t>
      </w:r>
    </w:p>
    <w:p w:rsidR="00A01C96" w:rsidRPr="003C7387" w:rsidRDefault="00A05D93" w:rsidP="003C7387">
      <w:pPr>
        <w:pStyle w:val="Prrafodelista"/>
        <w:tabs>
          <w:tab w:val="left" w:pos="0"/>
        </w:tabs>
        <w:spacing w:line="360" w:lineRule="auto"/>
        <w:ind w:left="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6B3B9E" w:rsidRPr="00FA6370">
        <w:rPr>
          <w:rFonts w:ascii="Arial" w:hAnsi="Arial" w:cs="Arial"/>
          <w:sz w:val="22"/>
          <w:szCs w:val="22"/>
        </w:rPr>
        <w:t>La totalidad de proyectos abordados dentro de</w:t>
      </w:r>
      <w:r w:rsidR="005F17B2" w:rsidRPr="00FA6370">
        <w:rPr>
          <w:rFonts w:ascii="Arial" w:hAnsi="Arial" w:cs="Arial"/>
          <w:sz w:val="22"/>
          <w:szCs w:val="22"/>
        </w:rPr>
        <w:t xml:space="preserve"> </w:t>
      </w:r>
      <w:r w:rsidR="006B3B9E" w:rsidRPr="00FA6370">
        <w:rPr>
          <w:rFonts w:ascii="Arial" w:hAnsi="Arial" w:cs="Arial"/>
          <w:sz w:val="22"/>
          <w:szCs w:val="22"/>
        </w:rPr>
        <w:t>l</w:t>
      </w:r>
      <w:r w:rsidR="005F17B2" w:rsidRPr="00FA6370">
        <w:rPr>
          <w:rFonts w:ascii="Arial" w:hAnsi="Arial" w:cs="Arial"/>
          <w:sz w:val="22"/>
          <w:szCs w:val="22"/>
        </w:rPr>
        <w:t>a inversión</w:t>
      </w:r>
      <w:r w:rsidR="006B3B9E" w:rsidRPr="00FA6370">
        <w:rPr>
          <w:rFonts w:ascii="Arial" w:hAnsi="Arial" w:cs="Arial"/>
          <w:sz w:val="22"/>
          <w:szCs w:val="22"/>
        </w:rPr>
        <w:t xml:space="preserve"> “</w:t>
      </w:r>
      <w:r w:rsidR="003C7387">
        <w:rPr>
          <w:rFonts w:ascii="Arial" w:hAnsi="Arial" w:cs="Arial"/>
          <w:sz w:val="22"/>
          <w:szCs w:val="22"/>
        </w:rPr>
        <w:t>Plan de Transición Energética en la Administración General del Estado. Justicia</w:t>
      </w:r>
      <w:r w:rsidR="006B3B9E" w:rsidRPr="00FA6370">
        <w:rPr>
          <w:rFonts w:ascii="Arial" w:hAnsi="Arial" w:cs="Arial"/>
          <w:sz w:val="22"/>
          <w:szCs w:val="22"/>
        </w:rPr>
        <w:t xml:space="preserve">” </w:t>
      </w:r>
      <w:r w:rsidR="005F17B2" w:rsidRPr="00FA6370">
        <w:rPr>
          <w:rFonts w:ascii="Arial" w:hAnsi="Arial" w:cs="Arial"/>
          <w:sz w:val="22"/>
          <w:szCs w:val="22"/>
        </w:rPr>
        <w:t xml:space="preserve">del Mecanismo de recuperación y Resiliencia </w:t>
      </w:r>
      <w:r w:rsidR="006B3B9E" w:rsidRPr="00FA6370">
        <w:rPr>
          <w:rFonts w:ascii="Arial" w:hAnsi="Arial" w:cs="Arial"/>
          <w:sz w:val="22"/>
          <w:szCs w:val="22"/>
        </w:rPr>
        <w:t xml:space="preserve">y que se encuentran enmarcados dentro de Justicia 2030 </w:t>
      </w:r>
      <w:r w:rsidR="003C7387">
        <w:rPr>
          <w:rFonts w:ascii="Arial" w:hAnsi="Arial" w:cs="Arial"/>
          <w:sz w:val="22"/>
          <w:szCs w:val="22"/>
        </w:rPr>
        <w:t xml:space="preserve">corresponden al </w:t>
      </w:r>
      <w:r w:rsidR="006F2653">
        <w:rPr>
          <w:rFonts w:ascii="Arial" w:hAnsi="Arial" w:cs="Arial"/>
          <w:sz w:val="22"/>
          <w:szCs w:val="22"/>
        </w:rPr>
        <w:t>P</w:t>
      </w:r>
      <w:r w:rsidR="003C7387">
        <w:rPr>
          <w:rFonts w:ascii="Arial" w:hAnsi="Arial" w:cs="Arial"/>
          <w:sz w:val="22"/>
          <w:szCs w:val="22"/>
        </w:rPr>
        <w:t>royecto de Sedes Sostenibles.</w:t>
      </w:r>
    </w:p>
    <w:p w:rsidR="008E6CD0" w:rsidRPr="00FA6370" w:rsidRDefault="008E6CD0" w:rsidP="008456F8">
      <w:pPr>
        <w:pStyle w:val="05Activid-Obj-Indicador"/>
        <w:spacing w:before="30" w:line="360" w:lineRule="auto"/>
        <w:rPr>
          <w:rFonts w:cs="Arial"/>
          <w:szCs w:val="22"/>
          <w:lang w:val="es-ES"/>
        </w:rPr>
      </w:pPr>
    </w:p>
    <w:p w:rsidR="008456F8" w:rsidRPr="00FA6370" w:rsidRDefault="00A27F02" w:rsidP="0031449A">
      <w:pPr>
        <w:pStyle w:val="05Activid-Obj-Indicador"/>
        <w:tabs>
          <w:tab w:val="clear" w:pos="426"/>
          <w:tab w:val="left" w:pos="0"/>
        </w:tabs>
        <w:spacing w:before="30" w:line="360" w:lineRule="auto"/>
        <w:rPr>
          <w:rFonts w:cs="Arial"/>
          <w:szCs w:val="22"/>
        </w:rPr>
      </w:pPr>
      <w:r w:rsidRPr="00FA6370">
        <w:rPr>
          <w:rFonts w:cs="Arial"/>
          <w:szCs w:val="22"/>
        </w:rPr>
        <w:t>3.</w:t>
      </w:r>
      <w:r w:rsidR="00A05D93">
        <w:rPr>
          <w:rFonts w:cs="Arial"/>
          <w:szCs w:val="22"/>
        </w:rPr>
        <w:t xml:space="preserve"> </w:t>
      </w:r>
      <w:r w:rsidR="00A05D93" w:rsidRPr="00FA6370">
        <w:rPr>
          <w:rFonts w:cs="Arial"/>
          <w:szCs w:val="22"/>
        </w:rPr>
        <w:t>PRINCIPALES OBJETIVOS DEL COMPONENTE</w:t>
      </w:r>
    </w:p>
    <w:p w:rsidR="00526273" w:rsidRDefault="00A05D93" w:rsidP="00526273">
      <w:pPr>
        <w:pStyle w:val="Prrafodelista"/>
        <w:tabs>
          <w:tab w:val="left" w:pos="0"/>
        </w:tabs>
        <w:spacing w:line="360" w:lineRule="auto"/>
        <w:ind w:left="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ab/>
      </w:r>
      <w:r w:rsidR="00526273">
        <w:rPr>
          <w:rFonts w:ascii="Arial" w:hAnsi="Arial" w:cs="Arial"/>
          <w:sz w:val="22"/>
          <w:szCs w:val="22"/>
          <w:lang w:val="es-ES_tradnl"/>
        </w:rPr>
        <w:t>El objetivo e</w:t>
      </w:r>
      <w:r w:rsidR="00526273" w:rsidRPr="00526273">
        <w:rPr>
          <w:rFonts w:ascii="Arial" w:hAnsi="Arial" w:cs="Arial"/>
          <w:sz w:val="22"/>
          <w:szCs w:val="22"/>
          <w:lang w:val="es-ES_tradnl"/>
        </w:rPr>
        <w:t xml:space="preserve">stá dirigido a fomentar la rehabilitación energética de los edificios, la mejora de la eficiencia energética de las infraestructuras consumidoras de energía, la movilidad sostenible y el despliegue de energías renovables térmicas y eléctricas. </w:t>
      </w:r>
      <w:r w:rsidR="00526273">
        <w:rPr>
          <w:rFonts w:ascii="Arial" w:hAnsi="Arial" w:cs="Arial"/>
          <w:sz w:val="22"/>
          <w:szCs w:val="22"/>
          <w:lang w:val="es-ES_tradnl"/>
        </w:rPr>
        <w:t xml:space="preserve">Las </w:t>
      </w:r>
      <w:r w:rsidR="00526273" w:rsidRPr="00526273">
        <w:rPr>
          <w:rFonts w:ascii="Arial" w:hAnsi="Arial" w:cs="Arial"/>
          <w:sz w:val="22"/>
          <w:szCs w:val="22"/>
          <w:lang w:val="es-ES_tradnl"/>
        </w:rPr>
        <w:t>actuaciones han de aumentar el número de edificios con alta calificación energética</w:t>
      </w:r>
      <w:r w:rsidR="00526273">
        <w:rPr>
          <w:rFonts w:ascii="Arial" w:hAnsi="Arial" w:cs="Arial"/>
          <w:sz w:val="22"/>
          <w:szCs w:val="22"/>
          <w:lang w:val="es-ES_tradnl"/>
        </w:rPr>
        <w:t xml:space="preserve">, </w:t>
      </w:r>
      <w:r w:rsidR="00526273" w:rsidRPr="00526273">
        <w:rPr>
          <w:rFonts w:ascii="Arial" w:hAnsi="Arial" w:cs="Arial"/>
          <w:sz w:val="22"/>
          <w:szCs w:val="22"/>
          <w:lang w:val="es-ES_tradnl"/>
        </w:rPr>
        <w:t xml:space="preserve"> se deben renovar las infraestructuras consumidoras de energía por otras de alta eficiencia energética</w:t>
      </w:r>
      <w:r w:rsidR="00526273">
        <w:rPr>
          <w:rFonts w:ascii="Arial" w:hAnsi="Arial" w:cs="Arial"/>
          <w:sz w:val="22"/>
          <w:szCs w:val="22"/>
          <w:lang w:val="es-ES_tradnl"/>
        </w:rPr>
        <w:t xml:space="preserve">, </w:t>
      </w:r>
      <w:r w:rsidR="00526273" w:rsidRPr="00526273">
        <w:rPr>
          <w:rFonts w:ascii="Arial" w:hAnsi="Arial" w:cs="Arial"/>
          <w:sz w:val="22"/>
          <w:szCs w:val="22"/>
          <w:lang w:val="es-ES_tradnl"/>
        </w:rPr>
        <w:t xml:space="preserve"> incrementar la utilización de las energías renovables térmicas y eléctricas en sustitución de combustibles fósiles</w:t>
      </w:r>
      <w:r w:rsidR="00526273">
        <w:rPr>
          <w:rFonts w:ascii="Arial" w:hAnsi="Arial" w:cs="Arial"/>
          <w:sz w:val="22"/>
          <w:szCs w:val="22"/>
          <w:lang w:val="es-ES_tradnl"/>
        </w:rPr>
        <w:t xml:space="preserve"> y p</w:t>
      </w:r>
      <w:r w:rsidR="00526273" w:rsidRPr="00526273">
        <w:rPr>
          <w:rFonts w:ascii="Arial" w:hAnsi="Arial" w:cs="Arial"/>
          <w:sz w:val="22"/>
          <w:szCs w:val="22"/>
          <w:lang w:val="es-ES_tradnl"/>
        </w:rPr>
        <w:t>romover la movilidad sostenible de los trabajadores públicos y renovar el parque público de vehículos, por otros de cero emisiones, en especial eléctricos y la implantación de puntos de recarga eléctrica, así como fomentar la movilidad sostenible de los trabajadores públicos incrementando el número de planes de transporte al centro de trabajo.</w:t>
      </w:r>
    </w:p>
    <w:p w:rsidR="00245A4B" w:rsidRPr="00245A4B" w:rsidRDefault="00A05D93" w:rsidP="0026700E">
      <w:pPr>
        <w:pStyle w:val="Prrafodelista"/>
        <w:tabs>
          <w:tab w:val="left" w:pos="0"/>
        </w:tabs>
        <w:spacing w:after="120" w:line="360" w:lineRule="auto"/>
        <w:ind w:left="0"/>
        <w:contextualSpacing w:val="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lastRenderedPageBreak/>
        <w:tab/>
      </w:r>
      <w:r w:rsidR="00245A4B" w:rsidRPr="00245A4B">
        <w:rPr>
          <w:rFonts w:ascii="Arial" w:hAnsi="Arial" w:cs="Arial"/>
          <w:sz w:val="22"/>
          <w:szCs w:val="22"/>
          <w:lang w:val="es-ES_tradnl"/>
        </w:rPr>
        <w:t>Además de la consecución de los objetivos energéticos</w:t>
      </w:r>
      <w:r w:rsidR="00245A4B">
        <w:rPr>
          <w:rFonts w:ascii="Arial" w:hAnsi="Arial" w:cs="Arial"/>
          <w:sz w:val="22"/>
          <w:szCs w:val="22"/>
          <w:lang w:val="es-ES_tradnl"/>
        </w:rPr>
        <w:t xml:space="preserve"> el </w:t>
      </w:r>
      <w:r w:rsidR="00245A4B" w:rsidRPr="00245A4B">
        <w:rPr>
          <w:rFonts w:ascii="Arial" w:hAnsi="Arial" w:cs="Arial"/>
          <w:sz w:val="22"/>
          <w:szCs w:val="22"/>
          <w:lang w:val="es-ES_tradnl"/>
        </w:rPr>
        <w:t>Plan de transición energética en la Administración General del Estado</w:t>
      </w:r>
      <w:r w:rsidR="00245A4B">
        <w:rPr>
          <w:rFonts w:ascii="Arial" w:hAnsi="Arial" w:cs="Arial"/>
          <w:sz w:val="22"/>
          <w:szCs w:val="22"/>
          <w:lang w:val="es-ES_tradnl"/>
        </w:rPr>
        <w:t xml:space="preserve"> pretende gen</w:t>
      </w:r>
      <w:r w:rsidR="00245A4B" w:rsidRPr="00245A4B">
        <w:rPr>
          <w:rFonts w:ascii="Arial" w:hAnsi="Arial" w:cs="Arial"/>
          <w:sz w:val="22"/>
          <w:szCs w:val="22"/>
          <w:lang w:val="es-ES_tradnl"/>
        </w:rPr>
        <w:t xml:space="preserve">erar un efecto sensibilizador sobre el conjunto de la Administración y la ciudadanía, incrementando la coherencia entre el funcionamiento del sector público y las políticas en el </w:t>
      </w:r>
      <w:r w:rsidR="00245A4B">
        <w:rPr>
          <w:rFonts w:ascii="Arial" w:hAnsi="Arial" w:cs="Arial"/>
          <w:sz w:val="22"/>
          <w:szCs w:val="22"/>
          <w:lang w:val="es-ES_tradnl"/>
        </w:rPr>
        <w:t>ámbito de transición energética, r</w:t>
      </w:r>
      <w:r w:rsidR="00245A4B" w:rsidRPr="00245A4B">
        <w:rPr>
          <w:rFonts w:ascii="Arial" w:hAnsi="Arial" w:cs="Arial"/>
          <w:sz w:val="22"/>
          <w:szCs w:val="22"/>
          <w:lang w:val="es-ES_tradnl"/>
        </w:rPr>
        <w:t xml:space="preserve">educir </w:t>
      </w:r>
      <w:r w:rsidR="00245A4B">
        <w:rPr>
          <w:rFonts w:ascii="Arial" w:hAnsi="Arial" w:cs="Arial"/>
          <w:sz w:val="22"/>
          <w:szCs w:val="22"/>
          <w:lang w:val="es-ES_tradnl"/>
        </w:rPr>
        <w:t xml:space="preserve">los </w:t>
      </w:r>
      <w:r w:rsidR="00245A4B" w:rsidRPr="00245A4B">
        <w:rPr>
          <w:rFonts w:ascii="Arial" w:hAnsi="Arial" w:cs="Arial"/>
          <w:sz w:val="22"/>
          <w:szCs w:val="22"/>
          <w:lang w:val="es-ES_tradnl"/>
        </w:rPr>
        <w:t>costes operativos para la Administración Pública, liberando recursos pa</w:t>
      </w:r>
      <w:r w:rsidR="00245A4B">
        <w:rPr>
          <w:rFonts w:ascii="Arial" w:hAnsi="Arial" w:cs="Arial"/>
          <w:sz w:val="22"/>
          <w:szCs w:val="22"/>
          <w:lang w:val="es-ES_tradnl"/>
        </w:rPr>
        <w:t>ra dedicar a políticas públicas y g</w:t>
      </w:r>
      <w:r w:rsidR="00245A4B" w:rsidRPr="00245A4B">
        <w:rPr>
          <w:rFonts w:ascii="Arial" w:hAnsi="Arial" w:cs="Arial"/>
          <w:sz w:val="22"/>
          <w:szCs w:val="22"/>
          <w:lang w:val="es-ES_tradnl"/>
        </w:rPr>
        <w:t xml:space="preserve">enerar </w:t>
      </w:r>
      <w:r w:rsidR="00245A4B">
        <w:rPr>
          <w:rFonts w:ascii="Arial" w:hAnsi="Arial" w:cs="Arial"/>
          <w:sz w:val="22"/>
          <w:szCs w:val="22"/>
          <w:lang w:val="es-ES_tradnl"/>
        </w:rPr>
        <w:t xml:space="preserve">un </w:t>
      </w:r>
      <w:r w:rsidR="00245A4B" w:rsidRPr="00245A4B">
        <w:rPr>
          <w:rFonts w:ascii="Arial" w:hAnsi="Arial" w:cs="Arial"/>
          <w:sz w:val="22"/>
          <w:szCs w:val="22"/>
          <w:lang w:val="es-ES_tradnl"/>
        </w:rPr>
        <w:t>efecto tractor sobre el mercado en ámbitos clave como la movilidad sostenible, la eficiencia energética y las energías renovables.</w:t>
      </w:r>
    </w:p>
    <w:p w:rsidR="0026700E" w:rsidRDefault="00A05D93" w:rsidP="002D0863">
      <w:pPr>
        <w:pStyle w:val="Prrafodelista"/>
        <w:tabs>
          <w:tab w:val="left" w:pos="0"/>
        </w:tabs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3C7387" w:rsidRPr="003C7387">
        <w:rPr>
          <w:rFonts w:ascii="Arial" w:hAnsi="Arial" w:cs="Arial"/>
          <w:sz w:val="22"/>
          <w:szCs w:val="22"/>
        </w:rPr>
        <w:t xml:space="preserve">El objetivo es poner en marcha un sistema que permita que el parque de edificios de la Administración de Justicia esté rehabilitado con las mismas características y al completo en 2050. </w:t>
      </w:r>
      <w:r w:rsidR="00245A4B" w:rsidRPr="00245A4B">
        <w:rPr>
          <w:rFonts w:ascii="Arial" w:hAnsi="Arial" w:cs="Arial"/>
          <w:sz w:val="22"/>
          <w:szCs w:val="22"/>
          <w:lang w:val="es-ES_tradnl"/>
        </w:rPr>
        <w:t xml:space="preserve">En este sentido, </w:t>
      </w:r>
      <w:r w:rsidR="007370A2">
        <w:rPr>
          <w:rFonts w:ascii="Arial" w:hAnsi="Arial" w:cs="Arial"/>
          <w:sz w:val="22"/>
          <w:szCs w:val="22"/>
          <w:lang w:val="es-ES_tradnl"/>
        </w:rPr>
        <w:t>el P</w:t>
      </w:r>
      <w:r w:rsidR="00245A4B" w:rsidRPr="00245A4B">
        <w:rPr>
          <w:rFonts w:ascii="Arial" w:hAnsi="Arial" w:cs="Arial"/>
          <w:sz w:val="22"/>
          <w:szCs w:val="22"/>
          <w:lang w:val="es-ES_tradnl"/>
        </w:rPr>
        <w:t>lan Justicia 2030</w:t>
      </w:r>
      <w:r w:rsidR="00245A4B">
        <w:rPr>
          <w:rFonts w:ascii="Arial" w:hAnsi="Arial" w:cs="Arial"/>
          <w:sz w:val="22"/>
          <w:szCs w:val="22"/>
          <w:lang w:val="es-ES_tradnl"/>
        </w:rPr>
        <w:t xml:space="preserve"> d</w:t>
      </w:r>
      <w:r w:rsidR="00245A4B" w:rsidRPr="00245A4B">
        <w:rPr>
          <w:rFonts w:ascii="Arial" w:hAnsi="Arial" w:cs="Arial"/>
          <w:sz w:val="22"/>
          <w:szCs w:val="22"/>
          <w:lang w:val="es-ES_tradnl"/>
        </w:rPr>
        <w:t>el Ministerio de Justicia contiene un proyecto de rehabilitación de “sedes sostenibles”. La Administración de Justicia tiene un parque de edificios amplio (en torno a 1500 sedes), envejecido, que responde a distintos parámetros de eficiencia en función de su año de construcción, con distintas funcionalidades (sedes administrativas y sedes judiciales) y en el marco de una distribución competencial compleja. Algo más de 400 sedes corresponden al territorio del Ministerio de Justicia y las otras más de 1.000 se encuentran en las CCAA con competencias transferidas.</w:t>
      </w:r>
      <w:r w:rsidR="00245A4B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2D0863" w:rsidRPr="002D0863">
        <w:rPr>
          <w:rFonts w:ascii="Arial" w:hAnsi="Arial" w:cs="Arial"/>
          <w:sz w:val="22"/>
          <w:szCs w:val="22"/>
        </w:rPr>
        <w:t xml:space="preserve">El PRTyR financiará la intervención en algunos de éstos edificios y las inversiones necesarias en herramientas e infraestructuras que permitan poder mantener el ritmo de rehabilitación tras su finalización. </w:t>
      </w:r>
      <w:r w:rsidR="002D0863">
        <w:rPr>
          <w:rFonts w:ascii="Arial" w:hAnsi="Arial" w:cs="Arial"/>
          <w:sz w:val="22"/>
          <w:szCs w:val="22"/>
        </w:rPr>
        <w:t xml:space="preserve">El Ministerio de Justicia ha preseleccionado 37 sedes judiciales </w:t>
      </w:r>
      <w:r w:rsidR="00AC54AB">
        <w:rPr>
          <w:rFonts w:ascii="Arial" w:hAnsi="Arial" w:cs="Arial"/>
          <w:sz w:val="22"/>
          <w:szCs w:val="22"/>
        </w:rPr>
        <w:t xml:space="preserve">distribuidas por todo el territorio nacional </w:t>
      </w:r>
      <w:r w:rsidR="002D0863">
        <w:rPr>
          <w:rFonts w:ascii="Arial" w:hAnsi="Arial" w:cs="Arial"/>
          <w:sz w:val="22"/>
          <w:szCs w:val="22"/>
        </w:rPr>
        <w:t>para su rehabilitación</w:t>
      </w:r>
      <w:r w:rsidR="00AC54AB">
        <w:rPr>
          <w:rFonts w:ascii="Arial" w:hAnsi="Arial" w:cs="Arial"/>
          <w:sz w:val="22"/>
          <w:szCs w:val="22"/>
        </w:rPr>
        <w:t>,</w:t>
      </w:r>
      <w:r w:rsidR="002D0863">
        <w:rPr>
          <w:rFonts w:ascii="Arial" w:hAnsi="Arial" w:cs="Arial"/>
          <w:sz w:val="22"/>
          <w:szCs w:val="22"/>
        </w:rPr>
        <w:t xml:space="preserve"> con el fin de </w:t>
      </w:r>
      <w:r w:rsidR="002D0863" w:rsidRPr="002D0863">
        <w:rPr>
          <w:rFonts w:ascii="Arial" w:hAnsi="Arial" w:cs="Arial"/>
          <w:sz w:val="22"/>
          <w:szCs w:val="22"/>
        </w:rPr>
        <w:t xml:space="preserve">mejorar la calificación energética de </w:t>
      </w:r>
      <w:r w:rsidR="002D0863">
        <w:rPr>
          <w:rFonts w:ascii="Arial" w:hAnsi="Arial" w:cs="Arial"/>
          <w:sz w:val="22"/>
          <w:szCs w:val="22"/>
        </w:rPr>
        <w:t xml:space="preserve">estos </w:t>
      </w:r>
      <w:r w:rsidR="002D0863" w:rsidRPr="002D0863">
        <w:rPr>
          <w:rFonts w:ascii="Arial" w:hAnsi="Arial" w:cs="Arial"/>
          <w:sz w:val="22"/>
          <w:szCs w:val="22"/>
        </w:rPr>
        <w:t>edificios y cumplir con las exigencias básicas de ahorro de energía para edificios existentes del Documento Básico DB-HE de Ahorro de Energía del C</w:t>
      </w:r>
      <w:r w:rsidR="0026700E">
        <w:rPr>
          <w:rFonts w:ascii="Arial" w:hAnsi="Arial" w:cs="Arial"/>
          <w:sz w:val="22"/>
          <w:szCs w:val="22"/>
        </w:rPr>
        <w:t>ódigo Técnico de la Edificación. Asimismo, se pretende la i</w:t>
      </w:r>
      <w:r w:rsidR="002D0863" w:rsidRPr="002D0863">
        <w:rPr>
          <w:rFonts w:ascii="Arial" w:hAnsi="Arial" w:cs="Arial"/>
          <w:sz w:val="22"/>
          <w:szCs w:val="22"/>
        </w:rPr>
        <w:t xml:space="preserve">ntegración de </w:t>
      </w:r>
      <w:r w:rsidR="004E4BF8">
        <w:rPr>
          <w:rFonts w:ascii="Arial" w:hAnsi="Arial" w:cs="Arial"/>
          <w:sz w:val="22"/>
          <w:szCs w:val="22"/>
        </w:rPr>
        <w:t xml:space="preserve">las </w:t>
      </w:r>
      <w:r w:rsidR="002D0863" w:rsidRPr="002D0863">
        <w:rPr>
          <w:rFonts w:ascii="Arial" w:hAnsi="Arial" w:cs="Arial"/>
          <w:sz w:val="22"/>
          <w:szCs w:val="22"/>
        </w:rPr>
        <w:t>energías renovables en los edificios e infraestructuras públicas</w:t>
      </w:r>
      <w:r w:rsidR="004E4BF8">
        <w:rPr>
          <w:rFonts w:ascii="Arial" w:hAnsi="Arial" w:cs="Arial"/>
          <w:sz w:val="22"/>
          <w:szCs w:val="22"/>
        </w:rPr>
        <w:t xml:space="preserve"> y la </w:t>
      </w:r>
      <w:r w:rsidR="0026700E">
        <w:rPr>
          <w:rFonts w:ascii="Arial" w:hAnsi="Arial" w:cs="Arial"/>
          <w:sz w:val="22"/>
          <w:szCs w:val="22"/>
        </w:rPr>
        <w:t>movilidad sostenible.</w:t>
      </w:r>
    </w:p>
    <w:p w:rsidR="003C7387" w:rsidRPr="00FA6370" w:rsidRDefault="003C7387" w:rsidP="003C7387">
      <w:pPr>
        <w:pStyle w:val="Prrafodelista"/>
        <w:tabs>
          <w:tab w:val="left" w:pos="0"/>
        </w:tabs>
        <w:spacing w:line="360" w:lineRule="auto"/>
        <w:ind w:left="0"/>
        <w:contextualSpacing w:val="0"/>
        <w:jc w:val="both"/>
        <w:rPr>
          <w:rFonts w:ascii="Arial" w:hAnsi="Arial" w:cs="Arial"/>
          <w:sz w:val="22"/>
          <w:szCs w:val="22"/>
        </w:rPr>
      </w:pPr>
    </w:p>
    <w:p w:rsidR="00394E49" w:rsidRPr="00FA6370" w:rsidRDefault="00394E49" w:rsidP="008456F8">
      <w:pPr>
        <w:pStyle w:val="03Descripcin"/>
        <w:spacing w:before="30" w:line="360" w:lineRule="auto"/>
        <w:ind w:left="0" w:firstLine="0"/>
        <w:rPr>
          <w:rFonts w:cs="Arial"/>
          <w:caps w:val="0"/>
          <w:szCs w:val="22"/>
        </w:rPr>
      </w:pPr>
      <w:r w:rsidRPr="00FA6370">
        <w:rPr>
          <w:rFonts w:cs="Arial"/>
          <w:caps w:val="0"/>
          <w:szCs w:val="22"/>
        </w:rPr>
        <w:t>4.</w:t>
      </w:r>
      <w:r w:rsidR="00A05D93">
        <w:rPr>
          <w:rFonts w:cs="Arial"/>
          <w:caps w:val="0"/>
          <w:szCs w:val="22"/>
        </w:rPr>
        <w:t xml:space="preserve"> </w:t>
      </w:r>
      <w:r w:rsidR="00A05D93" w:rsidRPr="00FA6370">
        <w:rPr>
          <w:rFonts w:cs="Arial"/>
          <w:caps w:val="0"/>
          <w:szCs w:val="22"/>
        </w:rPr>
        <w:t>DESCRIPCIÓN DE LA INVERSIÓN</w:t>
      </w:r>
    </w:p>
    <w:p w:rsidR="003C7387" w:rsidRPr="003C7387" w:rsidRDefault="00A05D93" w:rsidP="007370A2">
      <w:pPr>
        <w:pStyle w:val="Prrafodelista"/>
        <w:tabs>
          <w:tab w:val="left" w:pos="0"/>
        </w:tabs>
        <w:spacing w:after="120" w:line="360" w:lineRule="auto"/>
        <w:ind w:left="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671FD8" w:rsidRPr="00671FD8">
        <w:rPr>
          <w:rFonts w:ascii="Arial" w:hAnsi="Arial" w:cs="Arial"/>
          <w:sz w:val="22"/>
          <w:szCs w:val="22"/>
        </w:rPr>
        <w:t>El Ministerio de Justicia necesita introducir la transición ecológica en sus sedes mediante la reducción del consumo de energía primaria del 30 % en sus inmuebles</w:t>
      </w:r>
      <w:r w:rsidR="00671FD8">
        <w:rPr>
          <w:rFonts w:ascii="Arial" w:hAnsi="Arial" w:cs="Arial"/>
          <w:sz w:val="22"/>
          <w:szCs w:val="22"/>
        </w:rPr>
        <w:t>. Dada l</w:t>
      </w:r>
      <w:r w:rsidR="00671FD8" w:rsidRPr="003C7387">
        <w:rPr>
          <w:rFonts w:ascii="Arial" w:hAnsi="Arial" w:cs="Arial"/>
          <w:sz w:val="22"/>
          <w:szCs w:val="22"/>
        </w:rPr>
        <w:t xml:space="preserve">a heterogeneidad de los edificios sobre los que intervenir </w:t>
      </w:r>
      <w:r w:rsidR="00671FD8">
        <w:rPr>
          <w:rFonts w:ascii="Arial" w:hAnsi="Arial" w:cs="Arial"/>
          <w:sz w:val="22"/>
          <w:szCs w:val="22"/>
        </w:rPr>
        <w:t xml:space="preserve">se </w:t>
      </w:r>
      <w:r w:rsidR="00671FD8" w:rsidRPr="003C7387">
        <w:rPr>
          <w:rFonts w:ascii="Arial" w:hAnsi="Arial" w:cs="Arial"/>
          <w:sz w:val="22"/>
          <w:szCs w:val="22"/>
        </w:rPr>
        <w:t>hace imprescindible estandarizar la rehabilitación</w:t>
      </w:r>
      <w:r w:rsidR="00671FD8">
        <w:rPr>
          <w:rFonts w:ascii="Arial" w:hAnsi="Arial" w:cs="Arial"/>
          <w:sz w:val="22"/>
          <w:szCs w:val="22"/>
        </w:rPr>
        <w:t xml:space="preserve">, es decir, elaborar </w:t>
      </w:r>
      <w:r w:rsidR="00671FD8" w:rsidRPr="003C7387">
        <w:rPr>
          <w:rFonts w:ascii="Arial" w:hAnsi="Arial" w:cs="Arial"/>
          <w:sz w:val="22"/>
          <w:szCs w:val="22"/>
        </w:rPr>
        <w:t>un sistema común adaptable a cada tipo de sede, que incluya un catálogo de actuaciones con sus respectivos indicadores ponderados de modo que permita medir, certificar y monitorizar el proceso</w:t>
      </w:r>
      <w:r w:rsidR="00671FD8" w:rsidRPr="00671FD8">
        <w:rPr>
          <w:rFonts w:ascii="Arial" w:hAnsi="Arial" w:cs="Arial"/>
          <w:sz w:val="22"/>
          <w:szCs w:val="22"/>
        </w:rPr>
        <w:t xml:space="preserve"> y cumpliendo con </w:t>
      </w:r>
      <w:r w:rsidR="00671FD8">
        <w:rPr>
          <w:rFonts w:ascii="Arial" w:hAnsi="Arial" w:cs="Arial"/>
          <w:sz w:val="22"/>
          <w:szCs w:val="22"/>
        </w:rPr>
        <w:t>un</w:t>
      </w:r>
      <w:r w:rsidR="00671FD8" w:rsidRPr="00671FD8">
        <w:rPr>
          <w:rFonts w:ascii="Arial" w:hAnsi="Arial" w:cs="Arial"/>
          <w:sz w:val="22"/>
          <w:szCs w:val="22"/>
        </w:rPr>
        <w:t xml:space="preserve"> estándar de certificación</w:t>
      </w:r>
      <w:r w:rsidR="00B42382">
        <w:rPr>
          <w:rFonts w:ascii="Arial" w:hAnsi="Arial" w:cs="Arial"/>
          <w:sz w:val="22"/>
          <w:szCs w:val="22"/>
        </w:rPr>
        <w:t>.</w:t>
      </w:r>
      <w:r w:rsidR="00671FD8">
        <w:rPr>
          <w:rFonts w:ascii="Arial" w:hAnsi="Arial" w:cs="Arial"/>
          <w:sz w:val="22"/>
          <w:szCs w:val="22"/>
        </w:rPr>
        <w:t xml:space="preserve"> </w:t>
      </w:r>
      <w:r w:rsidR="007370A2">
        <w:rPr>
          <w:rFonts w:ascii="Arial" w:hAnsi="Arial" w:cs="Arial"/>
          <w:sz w:val="22"/>
          <w:szCs w:val="22"/>
        </w:rPr>
        <w:t xml:space="preserve">El proyecto global </w:t>
      </w:r>
      <w:r w:rsidR="00B42382">
        <w:rPr>
          <w:rFonts w:ascii="Arial" w:hAnsi="Arial" w:cs="Arial"/>
          <w:sz w:val="22"/>
          <w:szCs w:val="22"/>
        </w:rPr>
        <w:t>se</w:t>
      </w:r>
      <w:r w:rsidR="003C7387" w:rsidRPr="003C7387">
        <w:rPr>
          <w:rFonts w:ascii="Arial" w:hAnsi="Arial" w:cs="Arial"/>
          <w:sz w:val="22"/>
          <w:szCs w:val="22"/>
        </w:rPr>
        <w:t xml:space="preserve"> denomina</w:t>
      </w:r>
      <w:r w:rsidR="00B42382">
        <w:rPr>
          <w:rFonts w:ascii="Arial" w:hAnsi="Arial" w:cs="Arial"/>
          <w:sz w:val="22"/>
          <w:szCs w:val="22"/>
        </w:rPr>
        <w:t xml:space="preserve"> </w:t>
      </w:r>
      <w:r w:rsidR="003C7387" w:rsidRPr="003C7387">
        <w:rPr>
          <w:rFonts w:ascii="Arial" w:hAnsi="Arial" w:cs="Arial"/>
          <w:sz w:val="22"/>
          <w:szCs w:val="22"/>
        </w:rPr>
        <w:t>rehabilitación sostenible</w:t>
      </w:r>
      <w:r w:rsidR="00B42382">
        <w:rPr>
          <w:rFonts w:ascii="Arial" w:hAnsi="Arial" w:cs="Arial"/>
          <w:sz w:val="22"/>
          <w:szCs w:val="22"/>
        </w:rPr>
        <w:t xml:space="preserve"> de sedes o “sedes sostenibles”</w:t>
      </w:r>
      <w:r w:rsidR="003C7387" w:rsidRPr="003C7387">
        <w:rPr>
          <w:rFonts w:ascii="Arial" w:hAnsi="Arial" w:cs="Arial"/>
          <w:sz w:val="22"/>
          <w:szCs w:val="22"/>
        </w:rPr>
        <w:t>.</w:t>
      </w:r>
      <w:r w:rsidR="00BE51A6">
        <w:rPr>
          <w:rFonts w:ascii="Arial" w:hAnsi="Arial" w:cs="Arial"/>
          <w:sz w:val="22"/>
          <w:szCs w:val="22"/>
        </w:rPr>
        <w:t xml:space="preserve"> Se prevé una inversión total de cerca de 60 millones de euros, conforme al cuadro que se presenta en el apartado siguiente. </w:t>
      </w:r>
    </w:p>
    <w:p w:rsidR="00157415" w:rsidRDefault="00A05D93" w:rsidP="00157415">
      <w:pPr>
        <w:pStyle w:val="Prrafodelista"/>
        <w:tabs>
          <w:tab w:val="left" w:pos="0"/>
        </w:tabs>
        <w:spacing w:after="120" w:line="360" w:lineRule="auto"/>
        <w:ind w:left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ab/>
      </w:r>
      <w:r w:rsidR="00A6463E">
        <w:rPr>
          <w:rFonts w:ascii="Arial" w:hAnsi="Arial" w:cs="Arial"/>
          <w:sz w:val="22"/>
          <w:szCs w:val="22"/>
        </w:rPr>
        <w:t xml:space="preserve">La mejora </w:t>
      </w:r>
      <w:r w:rsidR="00A6463E" w:rsidRPr="00A6463E">
        <w:rPr>
          <w:rFonts w:ascii="Arial" w:hAnsi="Arial" w:cs="Arial"/>
          <w:sz w:val="22"/>
          <w:szCs w:val="22"/>
        </w:rPr>
        <w:t xml:space="preserve">de la eficiencia energética y la rehabilitación sostenible </w:t>
      </w:r>
      <w:r w:rsidR="00A6463E">
        <w:rPr>
          <w:rFonts w:ascii="Arial" w:hAnsi="Arial" w:cs="Arial"/>
          <w:sz w:val="22"/>
          <w:szCs w:val="22"/>
        </w:rPr>
        <w:t xml:space="preserve">de las </w:t>
      </w:r>
      <w:r w:rsidR="00A6463E" w:rsidRPr="00A6463E">
        <w:rPr>
          <w:rFonts w:ascii="Arial" w:hAnsi="Arial" w:cs="Arial"/>
          <w:sz w:val="22"/>
          <w:szCs w:val="22"/>
        </w:rPr>
        <w:t>37 sedes judiciales</w:t>
      </w:r>
      <w:r w:rsidR="00B42382">
        <w:rPr>
          <w:rFonts w:ascii="Arial" w:hAnsi="Arial" w:cs="Arial"/>
          <w:sz w:val="22"/>
          <w:szCs w:val="22"/>
        </w:rPr>
        <w:t xml:space="preserve"> preseleccionadas</w:t>
      </w:r>
      <w:r w:rsidR="00A6463E" w:rsidRPr="00A6463E">
        <w:rPr>
          <w:rFonts w:ascii="Arial" w:hAnsi="Arial" w:cs="Arial"/>
          <w:sz w:val="22"/>
          <w:szCs w:val="22"/>
        </w:rPr>
        <w:t xml:space="preserve">, </w:t>
      </w:r>
      <w:r w:rsidR="00A6463E">
        <w:rPr>
          <w:rFonts w:ascii="Arial" w:hAnsi="Arial" w:cs="Arial"/>
          <w:sz w:val="22"/>
          <w:szCs w:val="22"/>
        </w:rPr>
        <w:t>se realizará durante los años 2021 a 2023, siguiendo un programa de actuaciones</w:t>
      </w:r>
      <w:r w:rsidR="00B42382">
        <w:rPr>
          <w:rFonts w:ascii="Arial" w:hAnsi="Arial" w:cs="Arial"/>
          <w:sz w:val="22"/>
          <w:szCs w:val="22"/>
        </w:rPr>
        <w:t>,</w:t>
      </w:r>
      <w:r w:rsidR="00A6463E">
        <w:rPr>
          <w:rFonts w:ascii="Arial" w:hAnsi="Arial" w:cs="Arial"/>
          <w:sz w:val="22"/>
          <w:szCs w:val="22"/>
        </w:rPr>
        <w:t xml:space="preserve"> </w:t>
      </w:r>
      <w:r w:rsidR="00157415">
        <w:rPr>
          <w:rFonts w:ascii="Arial" w:hAnsi="Arial" w:cs="Arial"/>
          <w:sz w:val="22"/>
          <w:szCs w:val="22"/>
        </w:rPr>
        <w:t>entre las que se incluyen</w:t>
      </w:r>
      <w:r w:rsidR="00B01132">
        <w:rPr>
          <w:rFonts w:ascii="Arial" w:hAnsi="Arial" w:cs="Arial"/>
          <w:sz w:val="22"/>
          <w:szCs w:val="22"/>
        </w:rPr>
        <w:t xml:space="preserve"> las siguientes</w:t>
      </w:r>
      <w:r w:rsidR="00B42382">
        <w:rPr>
          <w:rFonts w:ascii="Arial" w:hAnsi="Arial" w:cs="Arial"/>
          <w:sz w:val="22"/>
          <w:szCs w:val="22"/>
        </w:rPr>
        <w:t>, en el marco de un Acuerdo interdepartamental con el MITERD, que incluye su financiación con fondos europeas de la Secretaria de Estado de Energia (IDAE)</w:t>
      </w:r>
      <w:r w:rsidR="00157415">
        <w:rPr>
          <w:rFonts w:ascii="Arial" w:hAnsi="Arial" w:cs="Arial"/>
          <w:sz w:val="22"/>
          <w:szCs w:val="22"/>
        </w:rPr>
        <w:t xml:space="preserve">: </w:t>
      </w:r>
    </w:p>
    <w:p w:rsidR="00B42382" w:rsidRDefault="00B42382" w:rsidP="00157415">
      <w:pPr>
        <w:pStyle w:val="Prrafodelista"/>
        <w:tabs>
          <w:tab w:val="left" w:pos="0"/>
        </w:tabs>
        <w:spacing w:after="120" w:line="360" w:lineRule="auto"/>
        <w:ind w:left="142"/>
        <w:jc w:val="both"/>
        <w:rPr>
          <w:rFonts w:ascii="Arial" w:hAnsi="Arial" w:cs="Arial"/>
          <w:sz w:val="22"/>
          <w:szCs w:val="22"/>
        </w:rPr>
      </w:pPr>
    </w:p>
    <w:p w:rsidR="00B42382" w:rsidRPr="0051402B" w:rsidRDefault="00A05D93" w:rsidP="00B42382">
      <w:pPr>
        <w:pStyle w:val="Prrafodelista"/>
        <w:tabs>
          <w:tab w:val="left" w:pos="0"/>
        </w:tabs>
        <w:spacing w:after="120" w:line="360" w:lineRule="auto"/>
        <w:ind w:left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B42382" w:rsidRPr="0051402B">
        <w:rPr>
          <w:rFonts w:ascii="Arial" w:hAnsi="Arial" w:cs="Arial"/>
          <w:sz w:val="22"/>
          <w:szCs w:val="22"/>
        </w:rPr>
        <w:t>Un encargo a un medio propio para la redacción de proyectos de ejecución y la dirección facultativa de las obras y, posteriormente, la licitación paulatina de las obras por lotes a media que se van entregado los proyectos, por su complejidad y sus ubicaciones fura de núcleos urbanos principales por parte del medio propio encargado.</w:t>
      </w:r>
    </w:p>
    <w:p w:rsidR="00B42382" w:rsidRPr="0051402B" w:rsidRDefault="00B42382" w:rsidP="00B42382">
      <w:pPr>
        <w:pStyle w:val="Prrafodelista"/>
        <w:tabs>
          <w:tab w:val="left" w:pos="0"/>
        </w:tabs>
        <w:spacing w:after="120" w:line="360" w:lineRule="auto"/>
        <w:ind w:left="142"/>
        <w:jc w:val="both"/>
        <w:rPr>
          <w:rFonts w:ascii="Arial" w:hAnsi="Arial" w:cs="Arial"/>
          <w:sz w:val="22"/>
          <w:szCs w:val="22"/>
        </w:rPr>
      </w:pPr>
    </w:p>
    <w:p w:rsidR="00157415" w:rsidRPr="00B42382" w:rsidRDefault="00A05D93" w:rsidP="00B42382">
      <w:pPr>
        <w:pStyle w:val="Prrafodelista"/>
        <w:tabs>
          <w:tab w:val="left" w:pos="0"/>
        </w:tabs>
        <w:spacing w:after="120" w:line="360" w:lineRule="auto"/>
        <w:ind w:left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B42382">
        <w:rPr>
          <w:rFonts w:ascii="Arial" w:hAnsi="Arial" w:cs="Arial"/>
          <w:sz w:val="22"/>
          <w:szCs w:val="22"/>
        </w:rPr>
        <w:t>Finalmente se llevará a cabo</w:t>
      </w:r>
      <w:r w:rsidR="00157415" w:rsidRPr="00B42382">
        <w:rPr>
          <w:rFonts w:ascii="Arial" w:hAnsi="Arial" w:cs="Arial"/>
          <w:sz w:val="22"/>
          <w:szCs w:val="22"/>
        </w:rPr>
        <w:t xml:space="preserve"> </w:t>
      </w:r>
      <w:r w:rsidR="00B42382">
        <w:rPr>
          <w:rFonts w:ascii="Arial" w:hAnsi="Arial" w:cs="Arial"/>
          <w:sz w:val="22"/>
          <w:szCs w:val="22"/>
        </w:rPr>
        <w:t>l</w:t>
      </w:r>
      <w:r w:rsidR="00157415" w:rsidRPr="00B42382">
        <w:rPr>
          <w:rFonts w:ascii="Arial" w:hAnsi="Arial" w:cs="Arial"/>
          <w:sz w:val="22"/>
          <w:szCs w:val="22"/>
        </w:rPr>
        <w:t xml:space="preserve">a certificación del objetivo </w:t>
      </w:r>
      <w:r w:rsidR="00B42382">
        <w:rPr>
          <w:rFonts w:ascii="Arial" w:hAnsi="Arial" w:cs="Arial"/>
          <w:sz w:val="22"/>
          <w:szCs w:val="22"/>
        </w:rPr>
        <w:t>de</w:t>
      </w:r>
      <w:r w:rsidR="00157415" w:rsidRPr="00B42382">
        <w:rPr>
          <w:rFonts w:ascii="Arial" w:hAnsi="Arial" w:cs="Arial"/>
          <w:sz w:val="22"/>
          <w:szCs w:val="22"/>
        </w:rPr>
        <w:t xml:space="preserve"> reducción del consumo de energía primaria del 30%.</w:t>
      </w:r>
    </w:p>
    <w:p w:rsidR="00DA026D" w:rsidRDefault="00DA026D" w:rsidP="00DA026D">
      <w:pPr>
        <w:pStyle w:val="Prrafodelista"/>
        <w:tabs>
          <w:tab w:val="left" w:pos="0"/>
        </w:tabs>
        <w:spacing w:after="120"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:rsidR="009B5B98" w:rsidRPr="00FA6370" w:rsidRDefault="00394E49" w:rsidP="008456F8">
      <w:pPr>
        <w:pStyle w:val="03Descripcin"/>
        <w:spacing w:before="30" w:line="360" w:lineRule="auto"/>
        <w:ind w:left="0" w:firstLine="0"/>
        <w:rPr>
          <w:rFonts w:cs="Arial"/>
          <w:caps w:val="0"/>
          <w:szCs w:val="22"/>
        </w:rPr>
      </w:pPr>
      <w:r w:rsidRPr="00FA6370">
        <w:rPr>
          <w:rFonts w:cs="Arial"/>
          <w:caps w:val="0"/>
          <w:szCs w:val="22"/>
        </w:rPr>
        <w:t>5.</w:t>
      </w:r>
      <w:r w:rsidR="00A05D93">
        <w:rPr>
          <w:rFonts w:cs="Arial"/>
          <w:caps w:val="0"/>
          <w:szCs w:val="22"/>
        </w:rPr>
        <w:t xml:space="preserve"> </w:t>
      </w:r>
      <w:r w:rsidR="00A05D93" w:rsidRPr="00FA6370">
        <w:rPr>
          <w:rFonts w:cs="Arial"/>
          <w:caps w:val="0"/>
          <w:szCs w:val="22"/>
        </w:rPr>
        <w:t>COSTE DE LA INVERSIÓN Y DISTRIBUCIÓN ANUALIZADA</w:t>
      </w:r>
      <w:r w:rsidR="00A05D93">
        <w:rPr>
          <w:rFonts w:cs="Arial"/>
          <w:caps w:val="0"/>
          <w:szCs w:val="22"/>
        </w:rPr>
        <w:t xml:space="preserve"> (EN MILES DE EUROS)</w:t>
      </w:r>
    </w:p>
    <w:tbl>
      <w:tblPr>
        <w:tblW w:w="1091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7"/>
        <w:gridCol w:w="1591"/>
        <w:gridCol w:w="1480"/>
        <w:gridCol w:w="1181"/>
        <w:gridCol w:w="541"/>
        <w:gridCol w:w="1191"/>
        <w:gridCol w:w="1292"/>
        <w:gridCol w:w="1292"/>
        <w:gridCol w:w="1939"/>
      </w:tblGrid>
      <w:tr w:rsidR="00C61F87" w:rsidRPr="00C61F87" w:rsidTr="00C61F87">
        <w:trPr>
          <w:trHeight w:val="515"/>
          <w:jc w:val="center"/>
        </w:trPr>
        <w:tc>
          <w:tcPr>
            <w:tcW w:w="4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C61F87" w:rsidRDefault="00C61F87" w:rsidP="00C61F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ES"/>
              </w:rPr>
            </w:pPr>
            <w:r w:rsidRPr="00C61F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ES"/>
              </w:rPr>
              <w:t> </w:t>
            </w:r>
          </w:p>
        </w:tc>
        <w:tc>
          <w:tcPr>
            <w:tcW w:w="13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>IDENTIFICACIÓN DE LA ACTUACIÓN</w:t>
            </w:r>
          </w:p>
        </w:tc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>DESCRIPCIÓN</w:t>
            </w:r>
          </w:p>
        </w:tc>
        <w:tc>
          <w:tcPr>
            <w:tcW w:w="10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>PLAZO EJECUCIÓN</w:t>
            </w:r>
          </w:p>
        </w:tc>
        <w:tc>
          <w:tcPr>
            <w:tcW w:w="46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 xml:space="preserve">PERIODIFICACIÓN PRESUPUESTO € </w:t>
            </w:r>
          </w:p>
        </w:tc>
        <w:tc>
          <w:tcPr>
            <w:tcW w:w="19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>COMPROMISOS ENERGÉTICOS ADQUIRIDOS</w:t>
            </w:r>
          </w:p>
        </w:tc>
      </w:tr>
      <w:tr w:rsidR="00C61F87" w:rsidRPr="00C61F87" w:rsidTr="00C61F87">
        <w:trPr>
          <w:trHeight w:val="274"/>
          <w:jc w:val="center"/>
        </w:trPr>
        <w:tc>
          <w:tcPr>
            <w:tcW w:w="4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1F87" w:rsidRPr="00C61F87" w:rsidRDefault="00C61F87" w:rsidP="00C61F87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ES"/>
              </w:rPr>
            </w:pPr>
          </w:p>
        </w:tc>
        <w:tc>
          <w:tcPr>
            <w:tcW w:w="13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1F87" w:rsidRPr="0051402B" w:rsidRDefault="00C61F87" w:rsidP="00C61F87">
            <w:pPr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1F87" w:rsidRPr="0051402B" w:rsidRDefault="00C61F87" w:rsidP="00C61F87">
            <w:pPr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</w:p>
        </w:tc>
        <w:tc>
          <w:tcPr>
            <w:tcW w:w="10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1F87" w:rsidRPr="0051402B" w:rsidRDefault="00C61F87" w:rsidP="00C61F87">
            <w:pPr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>2021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>2022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>2023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>TOTAL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> </w:t>
            </w:r>
          </w:p>
        </w:tc>
      </w:tr>
      <w:tr w:rsidR="00C61F87" w:rsidRPr="00C61F87" w:rsidTr="00C61F87">
        <w:trPr>
          <w:trHeight w:val="1066"/>
          <w:jc w:val="center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C61F87" w:rsidRDefault="00C61F87" w:rsidP="00C61F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ES"/>
              </w:rPr>
            </w:pPr>
            <w:r w:rsidRPr="00C61F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ES"/>
              </w:rPr>
              <w:t>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>Asistencia técnica a la planificación de actuaciones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>Recopilación de datos, análisis y diagnóstico de las propuestas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>3 meses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 xml:space="preserve">0,00  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 xml:space="preserve">0,00 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 xml:space="preserve">0,00 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 xml:space="preserve">0,00  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>Reducción del consumo de energía primaria del 30 %</w:t>
            </w:r>
          </w:p>
        </w:tc>
      </w:tr>
      <w:tr w:rsidR="00C61F87" w:rsidRPr="00C61F87" w:rsidTr="00C61F87">
        <w:trPr>
          <w:trHeight w:val="987"/>
          <w:jc w:val="center"/>
        </w:trPr>
        <w:tc>
          <w:tcPr>
            <w:tcW w:w="4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C61F87" w:rsidRDefault="00C61F87" w:rsidP="00C61F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ES"/>
              </w:rPr>
            </w:pPr>
            <w:r w:rsidRPr="00C61F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ES"/>
              </w:rPr>
              <w:t>2</w:t>
            </w:r>
          </w:p>
        </w:tc>
        <w:tc>
          <w:tcPr>
            <w:tcW w:w="13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>Encargo a Segipsa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>Redacción de proyectos, dirección facultativa y CSS</w:t>
            </w:r>
          </w:p>
        </w:tc>
        <w:tc>
          <w:tcPr>
            <w:tcW w:w="10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>30 meses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 xml:space="preserve">0,00  </w:t>
            </w:r>
          </w:p>
        </w:tc>
        <w:tc>
          <w:tcPr>
            <w:tcW w:w="11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 xml:space="preserve">3.684.878,00  </w:t>
            </w:r>
          </w:p>
        </w:tc>
        <w:tc>
          <w:tcPr>
            <w:tcW w:w="12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 xml:space="preserve">2.512.159,00  </w:t>
            </w: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 xml:space="preserve">6.197.037,00  </w:t>
            </w:r>
          </w:p>
        </w:tc>
        <w:tc>
          <w:tcPr>
            <w:tcW w:w="19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>Reducción del consumo de energía primaria del 30 %</w:t>
            </w:r>
          </w:p>
        </w:tc>
      </w:tr>
      <w:tr w:rsidR="00C61F87" w:rsidRPr="00C61F87" w:rsidTr="00C61F87">
        <w:trPr>
          <w:trHeight w:val="293"/>
          <w:jc w:val="center"/>
        </w:trPr>
        <w:tc>
          <w:tcPr>
            <w:tcW w:w="4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1F87" w:rsidRPr="00C61F87" w:rsidRDefault="00C61F87" w:rsidP="00C61F87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ES"/>
              </w:rPr>
            </w:pPr>
          </w:p>
        </w:tc>
        <w:tc>
          <w:tcPr>
            <w:tcW w:w="13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1F87" w:rsidRPr="0051402B" w:rsidRDefault="00C61F87" w:rsidP="00C61F87">
            <w:pPr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1F87" w:rsidRPr="0051402B" w:rsidRDefault="00C61F87" w:rsidP="00C61F87">
            <w:pPr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</w:p>
        </w:tc>
        <w:tc>
          <w:tcPr>
            <w:tcW w:w="1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1F87" w:rsidRPr="0051402B" w:rsidRDefault="00C61F87" w:rsidP="00C61F87">
            <w:pPr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1F87" w:rsidRPr="0051402B" w:rsidRDefault="00C61F87" w:rsidP="00C61F87">
            <w:pPr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1F87" w:rsidRPr="0051402B" w:rsidRDefault="00C61F87" w:rsidP="00C61F87">
            <w:pPr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1F87" w:rsidRPr="0051402B" w:rsidRDefault="00C61F87" w:rsidP="00C61F87">
            <w:pPr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1F87" w:rsidRPr="0051402B" w:rsidRDefault="00C61F87" w:rsidP="00C61F87">
            <w:pPr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</w:p>
        </w:tc>
        <w:tc>
          <w:tcPr>
            <w:tcW w:w="19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1F87" w:rsidRPr="0051402B" w:rsidRDefault="00C61F87" w:rsidP="00C61F87">
            <w:pPr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</w:p>
        </w:tc>
      </w:tr>
      <w:tr w:rsidR="00C61F87" w:rsidRPr="00C61F87" w:rsidTr="00C61F87">
        <w:trPr>
          <w:trHeight w:val="950"/>
          <w:jc w:val="center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C61F87" w:rsidRDefault="00C61F87" w:rsidP="00C61F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ES"/>
              </w:rPr>
            </w:pPr>
            <w:r w:rsidRPr="00C61F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ES"/>
              </w:rPr>
              <w:t>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>Estandarización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>Diseño y desarrollo de la monitorización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>12 meses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 xml:space="preserve">0,00  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 xml:space="preserve">370.000,00 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 xml:space="preserve">0,00 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 xml:space="preserve">370.000,00  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>Reducción del consumo de energía primaria del 30 %</w:t>
            </w:r>
          </w:p>
        </w:tc>
      </w:tr>
      <w:tr w:rsidR="00C61F87" w:rsidRPr="00C61F87" w:rsidTr="00C61F87">
        <w:trPr>
          <w:trHeight w:val="1020"/>
          <w:jc w:val="center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C61F87" w:rsidRDefault="00C61F87" w:rsidP="00C61F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ES"/>
              </w:rPr>
            </w:pPr>
            <w:r w:rsidRPr="00C61F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ES"/>
              </w:rPr>
              <w:t>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>Ejecución de las obras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>Ejecución de los contratos de obras en los edificios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>24 meses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 xml:space="preserve">0,00 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 xml:space="preserve">5.453.775,00  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 xml:space="preserve">47.196.110,00  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 xml:space="preserve">52.649.885,00  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eastAsia="es-ES"/>
              </w:rPr>
              <w:t>Reducción del consumo de energía primaria del 30 %</w:t>
            </w:r>
          </w:p>
        </w:tc>
      </w:tr>
      <w:tr w:rsidR="00C61F87" w:rsidRPr="00C61F87" w:rsidTr="00C61F87">
        <w:trPr>
          <w:trHeight w:val="274"/>
          <w:jc w:val="center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F87" w:rsidRPr="00C61F87" w:rsidRDefault="00C61F87" w:rsidP="00C61F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ES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F87" w:rsidRPr="0051402B" w:rsidRDefault="00C61F87" w:rsidP="00C61F87">
            <w:pPr>
              <w:rPr>
                <w:rFonts w:ascii="Arial" w:eastAsia="Times New Roman" w:hAnsi="Arial" w:cs="Arial"/>
                <w:sz w:val="18"/>
                <w:szCs w:val="20"/>
                <w:lang w:eastAsia="es-E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F87" w:rsidRPr="0051402B" w:rsidRDefault="00C61F87" w:rsidP="00C61F87">
            <w:pPr>
              <w:rPr>
                <w:rFonts w:ascii="Arial" w:eastAsia="Times New Roman" w:hAnsi="Arial" w:cs="Arial"/>
                <w:sz w:val="18"/>
                <w:szCs w:val="20"/>
                <w:lang w:eastAsia="es-ES"/>
              </w:rPr>
            </w:pPr>
          </w:p>
        </w:tc>
        <w:tc>
          <w:tcPr>
            <w:tcW w:w="1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sz w:val="18"/>
                <w:szCs w:val="20"/>
                <w:lang w:eastAsia="es-ES"/>
              </w:rPr>
              <w:t>TOTALES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sz w:val="18"/>
                <w:szCs w:val="20"/>
                <w:lang w:eastAsia="es-ES"/>
              </w:rPr>
              <w:t xml:space="preserve">0,00  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F87" w:rsidRPr="0051402B" w:rsidRDefault="00C61F87" w:rsidP="00C61F87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sz w:val="18"/>
                <w:szCs w:val="20"/>
                <w:lang w:eastAsia="es-ES"/>
              </w:rPr>
              <w:t xml:space="preserve">9.508.653,00  </w:t>
            </w:r>
          </w:p>
        </w:tc>
        <w:tc>
          <w:tcPr>
            <w:tcW w:w="12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F87" w:rsidRPr="0051402B" w:rsidRDefault="00C61F87" w:rsidP="00C61F87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sz w:val="18"/>
                <w:szCs w:val="20"/>
                <w:lang w:eastAsia="es-ES"/>
              </w:rPr>
              <w:t xml:space="preserve">49.708.269,00  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ES"/>
              </w:rPr>
            </w:pPr>
            <w:r w:rsidRPr="0051402B">
              <w:rPr>
                <w:rFonts w:ascii="Arial" w:eastAsia="Times New Roman" w:hAnsi="Arial" w:cs="Arial"/>
                <w:bCs/>
                <w:sz w:val="18"/>
                <w:szCs w:val="20"/>
                <w:lang w:eastAsia="es-ES"/>
              </w:rPr>
              <w:t xml:space="preserve">59.216.922,00  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F87" w:rsidRPr="0051402B" w:rsidRDefault="00C61F87" w:rsidP="00C61F87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ES"/>
              </w:rPr>
            </w:pPr>
          </w:p>
        </w:tc>
      </w:tr>
    </w:tbl>
    <w:p w:rsidR="006E4AD2" w:rsidRDefault="006E4AD2" w:rsidP="00BE51A6">
      <w:pPr>
        <w:pStyle w:val="03Descripcin"/>
        <w:spacing w:before="30" w:line="360" w:lineRule="auto"/>
        <w:ind w:left="0" w:firstLine="0"/>
        <w:jc w:val="center"/>
        <w:rPr>
          <w:rFonts w:cs="Arial"/>
          <w:caps w:val="0"/>
          <w:szCs w:val="22"/>
        </w:rPr>
      </w:pPr>
    </w:p>
    <w:p w:rsidR="0051402B" w:rsidRDefault="0051402B" w:rsidP="00BE51A6">
      <w:pPr>
        <w:pStyle w:val="03Descripcin"/>
        <w:spacing w:before="30" w:line="360" w:lineRule="auto"/>
        <w:ind w:left="0" w:firstLine="0"/>
        <w:jc w:val="center"/>
        <w:rPr>
          <w:rFonts w:cs="Arial"/>
          <w:caps w:val="0"/>
          <w:szCs w:val="22"/>
        </w:rPr>
      </w:pPr>
    </w:p>
    <w:p w:rsidR="00F35330" w:rsidRDefault="00F35330">
      <w:pPr>
        <w:rPr>
          <w:rFonts w:ascii="Arial" w:hAnsi="Arial" w:cs="Arial"/>
          <w:bCs/>
          <w:sz w:val="22"/>
          <w:szCs w:val="22"/>
        </w:rPr>
      </w:pPr>
    </w:p>
    <w:p w:rsidR="002D0775" w:rsidRDefault="00A336DE" w:rsidP="002D0775">
      <w:pPr>
        <w:pStyle w:val="03Descripcin"/>
        <w:spacing w:before="30" w:line="360" w:lineRule="auto"/>
        <w:ind w:left="0" w:firstLine="0"/>
        <w:rPr>
          <w:rFonts w:cs="Arial"/>
          <w:caps w:val="0"/>
          <w:szCs w:val="22"/>
        </w:rPr>
      </w:pPr>
      <w:r>
        <w:rPr>
          <w:rFonts w:cs="Arial"/>
          <w:bCs/>
          <w:szCs w:val="22"/>
        </w:rPr>
        <w:lastRenderedPageBreak/>
        <w:t xml:space="preserve"> </w:t>
      </w:r>
      <w:r w:rsidR="002D0775" w:rsidRPr="00FA6370">
        <w:rPr>
          <w:rFonts w:cs="Arial"/>
          <w:caps w:val="0"/>
          <w:szCs w:val="22"/>
        </w:rPr>
        <w:t>6.</w:t>
      </w:r>
      <w:r w:rsidR="00A05D93">
        <w:rPr>
          <w:rFonts w:cs="Arial"/>
          <w:caps w:val="0"/>
          <w:szCs w:val="22"/>
        </w:rPr>
        <w:t xml:space="preserve"> </w:t>
      </w:r>
      <w:r w:rsidR="00A05D93" w:rsidRPr="00FA6370">
        <w:rPr>
          <w:rFonts w:cs="Arial"/>
          <w:caps w:val="0"/>
          <w:szCs w:val="22"/>
        </w:rPr>
        <w:t>HITOS Y OBJETIVOS DE LA INVERSIÓN</w:t>
      </w:r>
    </w:p>
    <w:p w:rsidR="0090182A" w:rsidRPr="0090182A" w:rsidRDefault="00AC54AB" w:rsidP="00FB1CCE">
      <w:pPr>
        <w:pStyle w:val="Prrafodelista"/>
        <w:tabs>
          <w:tab w:val="left" w:pos="0"/>
        </w:tabs>
        <w:spacing w:after="120" w:line="360" w:lineRule="auto"/>
        <w:ind w:left="0"/>
        <w:contextualSpacing w:val="0"/>
        <w:jc w:val="both"/>
        <w:rPr>
          <w:rFonts w:cs="Arial"/>
          <w:szCs w:val="22"/>
        </w:rPr>
      </w:pPr>
      <w:r w:rsidRPr="00AC54AB">
        <w:rPr>
          <w:rFonts w:ascii="Arial" w:hAnsi="Arial" w:cs="Arial"/>
          <w:sz w:val="22"/>
          <w:szCs w:val="22"/>
        </w:rPr>
        <w:t>Reducción del consumo de energía primaria del 30 %</w:t>
      </w:r>
      <w:r w:rsidR="00B42382">
        <w:rPr>
          <w:rFonts w:ascii="Arial" w:hAnsi="Arial" w:cs="Arial"/>
          <w:sz w:val="22"/>
          <w:szCs w:val="22"/>
        </w:rPr>
        <w:t xml:space="preserve"> de cada sede en la que se actúe.</w:t>
      </w:r>
    </w:p>
    <w:sectPr w:rsidR="0090182A" w:rsidRPr="0090182A" w:rsidSect="000C30FC">
      <w:footerReference w:type="even" r:id="rId8"/>
      <w:footerReference w:type="default" r:id="rId9"/>
      <w:pgSz w:w="12240" w:h="15840"/>
      <w:pgMar w:top="1276" w:right="1185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E5E" w:rsidRDefault="00F16E5E" w:rsidP="00CF46DE">
      <w:r>
        <w:separator/>
      </w:r>
    </w:p>
  </w:endnote>
  <w:endnote w:type="continuationSeparator" w:id="0">
    <w:p w:rsidR="00F16E5E" w:rsidRDefault="00F16E5E" w:rsidP="00CF4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merodepgina"/>
      </w:rPr>
      <w:id w:val="-1554759768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:rsidR="00CA3C15" w:rsidRDefault="00CA3C15" w:rsidP="00397BCE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:rsidR="00CA3C15" w:rsidRDefault="00CA3C15" w:rsidP="00CF46D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42099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D7325" w:rsidRDefault="002D7325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3147EC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3147EC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2D7325" w:rsidRDefault="002D732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E5E" w:rsidRDefault="00F16E5E" w:rsidP="00CF46DE">
      <w:r>
        <w:separator/>
      </w:r>
    </w:p>
  </w:footnote>
  <w:footnote w:type="continuationSeparator" w:id="0">
    <w:p w:rsidR="00F16E5E" w:rsidRDefault="00F16E5E" w:rsidP="00CF46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B42E3"/>
    <w:multiLevelType w:val="hybridMultilevel"/>
    <w:tmpl w:val="DEBA1BEE"/>
    <w:lvl w:ilvl="0" w:tplc="D6620AA0">
      <w:start w:val="1"/>
      <w:numFmt w:val="decimal"/>
      <w:pStyle w:val="Bulletnmeros"/>
      <w:lvlText w:val="%1."/>
      <w:lvlJc w:val="left"/>
      <w:pPr>
        <w:ind w:left="810" w:hanging="360"/>
      </w:pPr>
      <w:rPr>
        <w:rFonts w:hint="default"/>
        <w:b/>
        <w:bCs w:val="0"/>
        <w:color w:val="2F5496" w:themeColor="accent1" w:themeShade="BF"/>
        <w:sz w:val="24"/>
        <w:szCs w:val="24"/>
      </w:rPr>
    </w:lvl>
    <w:lvl w:ilvl="1" w:tplc="0C0A0019">
      <w:start w:val="1"/>
      <w:numFmt w:val="lowerLetter"/>
      <w:lvlText w:val="%2."/>
      <w:lvlJc w:val="left"/>
      <w:pPr>
        <w:ind w:left="1530" w:hanging="360"/>
      </w:pPr>
    </w:lvl>
    <w:lvl w:ilvl="2" w:tplc="0C0A001B" w:tentative="1">
      <w:start w:val="1"/>
      <w:numFmt w:val="lowerRoman"/>
      <w:lvlText w:val="%3."/>
      <w:lvlJc w:val="right"/>
      <w:pPr>
        <w:ind w:left="2250" w:hanging="180"/>
      </w:pPr>
    </w:lvl>
    <w:lvl w:ilvl="3" w:tplc="0C0A000F" w:tentative="1">
      <w:start w:val="1"/>
      <w:numFmt w:val="decimal"/>
      <w:lvlText w:val="%4."/>
      <w:lvlJc w:val="left"/>
      <w:pPr>
        <w:ind w:left="2970" w:hanging="360"/>
      </w:pPr>
    </w:lvl>
    <w:lvl w:ilvl="4" w:tplc="0C0A0019" w:tentative="1">
      <w:start w:val="1"/>
      <w:numFmt w:val="lowerLetter"/>
      <w:lvlText w:val="%5."/>
      <w:lvlJc w:val="left"/>
      <w:pPr>
        <w:ind w:left="3690" w:hanging="360"/>
      </w:pPr>
    </w:lvl>
    <w:lvl w:ilvl="5" w:tplc="0C0A001B" w:tentative="1">
      <w:start w:val="1"/>
      <w:numFmt w:val="lowerRoman"/>
      <w:lvlText w:val="%6."/>
      <w:lvlJc w:val="right"/>
      <w:pPr>
        <w:ind w:left="4410" w:hanging="180"/>
      </w:pPr>
    </w:lvl>
    <w:lvl w:ilvl="6" w:tplc="0C0A000F" w:tentative="1">
      <w:start w:val="1"/>
      <w:numFmt w:val="decimal"/>
      <w:lvlText w:val="%7."/>
      <w:lvlJc w:val="left"/>
      <w:pPr>
        <w:ind w:left="5130" w:hanging="360"/>
      </w:pPr>
    </w:lvl>
    <w:lvl w:ilvl="7" w:tplc="0C0A0019" w:tentative="1">
      <w:start w:val="1"/>
      <w:numFmt w:val="lowerLetter"/>
      <w:lvlText w:val="%8."/>
      <w:lvlJc w:val="left"/>
      <w:pPr>
        <w:ind w:left="5850" w:hanging="360"/>
      </w:pPr>
    </w:lvl>
    <w:lvl w:ilvl="8" w:tplc="0C0A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2CE15C51"/>
    <w:multiLevelType w:val="multilevel"/>
    <w:tmpl w:val="6A1E66F6"/>
    <w:lvl w:ilvl="0">
      <w:start w:val="1"/>
      <w:numFmt w:val="bullet"/>
      <w:pStyle w:val="VietaNivel1"/>
      <w:lvlText w:val=""/>
      <w:lvlJc w:val="left"/>
      <w:pPr>
        <w:tabs>
          <w:tab w:val="num" w:pos="737"/>
        </w:tabs>
        <w:ind w:left="851" w:hanging="491"/>
      </w:pPr>
      <w:rPr>
        <w:rFonts w:ascii="Wingdings 2" w:hAnsi="Wingdings 2" w:hint="default"/>
        <w:b/>
        <w:i w:val="0"/>
        <w:caps w:val="0"/>
        <w:strike w:val="0"/>
        <w:dstrike w:val="0"/>
        <w:vanish w:val="0"/>
        <w:color w:val="44546A" w:themeColor="text2"/>
        <w:spacing w:val="0"/>
        <w:w w:val="100"/>
        <w:kern w:val="0"/>
        <w:position w:val="0"/>
        <w:sz w:val="20"/>
        <w:u w:val="none"/>
        <w:effect w:val="none"/>
        <w:vertAlign w:val="baseline"/>
      </w:rPr>
    </w:lvl>
    <w:lvl w:ilvl="1">
      <w:start w:val="1"/>
      <w:numFmt w:val="bullet"/>
      <w:pStyle w:val="VietaNivel2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  <w:color w:val="44546A" w:themeColor="text2"/>
      </w:rPr>
    </w:lvl>
    <w:lvl w:ilvl="2">
      <w:start w:val="1"/>
      <w:numFmt w:val="bullet"/>
      <w:pStyle w:val="VietaNivel3"/>
      <w:lvlText w:val=""/>
      <w:lvlJc w:val="left"/>
      <w:pPr>
        <w:tabs>
          <w:tab w:val="num" w:pos="1701"/>
        </w:tabs>
        <w:ind w:left="1701" w:hanging="283"/>
      </w:pPr>
      <w:rPr>
        <w:rFonts w:ascii="Wingdings" w:hAnsi="Wingdings" w:hint="default"/>
        <w:color w:val="44546A" w:themeColor="text2"/>
      </w:rPr>
    </w:lvl>
    <w:lvl w:ilvl="3">
      <w:start w:val="1"/>
      <w:numFmt w:val="bullet"/>
      <w:pStyle w:val="VietaNivel4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  <w:color w:val="44546A" w:themeColor="text2"/>
      </w:rPr>
    </w:lvl>
    <w:lvl w:ilvl="4">
      <w:start w:val="1"/>
      <w:numFmt w:val="bullet"/>
      <w:pStyle w:val="VietaNivel5"/>
      <w:lvlText w:val=""/>
      <w:lvlJc w:val="left"/>
      <w:pPr>
        <w:tabs>
          <w:tab w:val="num" w:pos="2835"/>
        </w:tabs>
        <w:ind w:left="2835" w:hanging="283"/>
      </w:pPr>
      <w:rPr>
        <w:rFonts w:ascii="Wingdings 2" w:hAnsi="Wingdings 2" w:hint="default"/>
        <w:color w:val="000000" w:themeColor="text1"/>
      </w:rPr>
    </w:lvl>
    <w:lvl w:ilvl="5">
      <w:start w:val="1"/>
      <w:numFmt w:val="bullet"/>
      <w:pStyle w:val="VietaNivel6"/>
      <w:lvlText w:val="o"/>
      <w:lvlJc w:val="left"/>
      <w:pPr>
        <w:tabs>
          <w:tab w:val="num" w:pos="3402"/>
        </w:tabs>
        <w:ind w:left="3402" w:hanging="283"/>
      </w:pPr>
      <w:rPr>
        <w:rFonts w:ascii="Courier New" w:hAnsi="Courier New" w:hint="default"/>
        <w:color w:val="000000" w:themeColor="text1"/>
      </w:rPr>
    </w:lvl>
    <w:lvl w:ilvl="6">
      <w:start w:val="1"/>
      <w:numFmt w:val="bullet"/>
      <w:pStyle w:val="VietaNivel7"/>
      <w:lvlText w:val=""/>
      <w:lvlJc w:val="left"/>
      <w:pPr>
        <w:tabs>
          <w:tab w:val="num" w:pos="3969"/>
        </w:tabs>
        <w:ind w:left="3969" w:hanging="283"/>
      </w:pPr>
      <w:rPr>
        <w:rFonts w:ascii="Wingdings" w:hAnsi="Wingdings" w:hint="default"/>
        <w:color w:val="000000" w:themeColor="text1"/>
      </w:rPr>
    </w:lvl>
    <w:lvl w:ilvl="7">
      <w:start w:val="1"/>
      <w:numFmt w:val="bullet"/>
      <w:pStyle w:val="VietaNivel8"/>
      <w:lvlText w:val=""/>
      <w:lvlJc w:val="left"/>
      <w:pPr>
        <w:tabs>
          <w:tab w:val="num" w:pos="5103"/>
        </w:tabs>
        <w:ind w:left="5103" w:hanging="283"/>
      </w:pPr>
      <w:rPr>
        <w:rFonts w:ascii="Symbol" w:hAnsi="Symbol" w:hint="default"/>
        <w:color w:val="000000" w:themeColor="text1"/>
      </w:rPr>
    </w:lvl>
    <w:lvl w:ilvl="8">
      <w:start w:val="1"/>
      <w:numFmt w:val="bullet"/>
      <w:pStyle w:val="VietaNivel9"/>
      <w:lvlText w:val=""/>
      <w:lvlJc w:val="left"/>
      <w:pPr>
        <w:tabs>
          <w:tab w:val="num" w:pos="5670"/>
        </w:tabs>
        <w:ind w:left="5670" w:hanging="283"/>
      </w:pPr>
      <w:rPr>
        <w:rFonts w:ascii="Symbol" w:hAnsi="Symbol" w:hint="default"/>
        <w:color w:val="70AD47" w:themeColor="accent6"/>
      </w:rPr>
    </w:lvl>
  </w:abstractNum>
  <w:abstractNum w:abstractNumId="2" w15:restartNumberingAfterBreak="0">
    <w:nsid w:val="2DAB435B"/>
    <w:multiLevelType w:val="hybridMultilevel"/>
    <w:tmpl w:val="0DEE9E74"/>
    <w:lvl w:ilvl="0" w:tplc="5CCC567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2B0F70"/>
    <w:multiLevelType w:val="hybridMultilevel"/>
    <w:tmpl w:val="CA6E597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2D2BC6"/>
    <w:multiLevelType w:val="hybridMultilevel"/>
    <w:tmpl w:val="684815E0"/>
    <w:lvl w:ilvl="0" w:tplc="A2AE8646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16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000E72"/>
    <w:multiLevelType w:val="hybridMultilevel"/>
    <w:tmpl w:val="BADACE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BC6"/>
    <w:rsid w:val="00004636"/>
    <w:rsid w:val="00012E48"/>
    <w:rsid w:val="0002563A"/>
    <w:rsid w:val="0002614B"/>
    <w:rsid w:val="0003061D"/>
    <w:rsid w:val="000350A4"/>
    <w:rsid w:val="000362BB"/>
    <w:rsid w:val="00040FF8"/>
    <w:rsid w:val="00053570"/>
    <w:rsid w:val="00053D16"/>
    <w:rsid w:val="0005751A"/>
    <w:rsid w:val="00061E55"/>
    <w:rsid w:val="00070DB8"/>
    <w:rsid w:val="00086C45"/>
    <w:rsid w:val="000A44AC"/>
    <w:rsid w:val="000B29D7"/>
    <w:rsid w:val="000B5745"/>
    <w:rsid w:val="000C30FC"/>
    <w:rsid w:val="000C333E"/>
    <w:rsid w:val="000C4152"/>
    <w:rsid w:val="000D1794"/>
    <w:rsid w:val="000F3314"/>
    <w:rsid w:val="001016CE"/>
    <w:rsid w:val="001118FC"/>
    <w:rsid w:val="001223A8"/>
    <w:rsid w:val="00123F3A"/>
    <w:rsid w:val="00136AEE"/>
    <w:rsid w:val="001526B2"/>
    <w:rsid w:val="00157415"/>
    <w:rsid w:val="00157B12"/>
    <w:rsid w:val="0016081C"/>
    <w:rsid w:val="00175AD1"/>
    <w:rsid w:val="00176BC6"/>
    <w:rsid w:val="00181087"/>
    <w:rsid w:val="00185246"/>
    <w:rsid w:val="0019375F"/>
    <w:rsid w:val="001C3906"/>
    <w:rsid w:val="001D056B"/>
    <w:rsid w:val="00207A38"/>
    <w:rsid w:val="00212374"/>
    <w:rsid w:val="00217D4D"/>
    <w:rsid w:val="002247F3"/>
    <w:rsid w:val="00226691"/>
    <w:rsid w:val="002276C2"/>
    <w:rsid w:val="00235CCC"/>
    <w:rsid w:val="00245A4B"/>
    <w:rsid w:val="00261E81"/>
    <w:rsid w:val="0026700E"/>
    <w:rsid w:val="002A0010"/>
    <w:rsid w:val="002A4B60"/>
    <w:rsid w:val="002B48B5"/>
    <w:rsid w:val="002C2231"/>
    <w:rsid w:val="002D0775"/>
    <w:rsid w:val="002D0863"/>
    <w:rsid w:val="002D093F"/>
    <w:rsid w:val="002D7325"/>
    <w:rsid w:val="002E1BA9"/>
    <w:rsid w:val="002E3DE7"/>
    <w:rsid w:val="002E4772"/>
    <w:rsid w:val="002F6DC0"/>
    <w:rsid w:val="0030298C"/>
    <w:rsid w:val="0031449A"/>
    <w:rsid w:val="003147EC"/>
    <w:rsid w:val="00316AFE"/>
    <w:rsid w:val="00324D9A"/>
    <w:rsid w:val="0033730B"/>
    <w:rsid w:val="00374BF7"/>
    <w:rsid w:val="00384C42"/>
    <w:rsid w:val="00387841"/>
    <w:rsid w:val="00394E49"/>
    <w:rsid w:val="00397BCE"/>
    <w:rsid w:val="003A6718"/>
    <w:rsid w:val="003B7C5D"/>
    <w:rsid w:val="003C693F"/>
    <w:rsid w:val="003C7387"/>
    <w:rsid w:val="003D353E"/>
    <w:rsid w:val="003D3C49"/>
    <w:rsid w:val="003E538B"/>
    <w:rsid w:val="003F51FA"/>
    <w:rsid w:val="00401C4F"/>
    <w:rsid w:val="00442931"/>
    <w:rsid w:val="004666B2"/>
    <w:rsid w:val="004A5188"/>
    <w:rsid w:val="004B3999"/>
    <w:rsid w:val="004C5704"/>
    <w:rsid w:val="004C5D72"/>
    <w:rsid w:val="004D5B86"/>
    <w:rsid w:val="004E4BF8"/>
    <w:rsid w:val="004F1426"/>
    <w:rsid w:val="004F41C4"/>
    <w:rsid w:val="004F5AE8"/>
    <w:rsid w:val="005127CA"/>
    <w:rsid w:val="0051402B"/>
    <w:rsid w:val="00521679"/>
    <w:rsid w:val="00526273"/>
    <w:rsid w:val="00541F76"/>
    <w:rsid w:val="0055501B"/>
    <w:rsid w:val="005563C9"/>
    <w:rsid w:val="00560D85"/>
    <w:rsid w:val="005714C0"/>
    <w:rsid w:val="00573E58"/>
    <w:rsid w:val="00580B34"/>
    <w:rsid w:val="0058371D"/>
    <w:rsid w:val="00594B8D"/>
    <w:rsid w:val="00597092"/>
    <w:rsid w:val="005979A1"/>
    <w:rsid w:val="005B197A"/>
    <w:rsid w:val="005E324A"/>
    <w:rsid w:val="005F17B2"/>
    <w:rsid w:val="005F606E"/>
    <w:rsid w:val="0060775E"/>
    <w:rsid w:val="006278FD"/>
    <w:rsid w:val="00650839"/>
    <w:rsid w:val="00652F4D"/>
    <w:rsid w:val="00661F8F"/>
    <w:rsid w:val="00664C90"/>
    <w:rsid w:val="00671FD8"/>
    <w:rsid w:val="00673B4F"/>
    <w:rsid w:val="00673F78"/>
    <w:rsid w:val="00674707"/>
    <w:rsid w:val="00675B39"/>
    <w:rsid w:val="00677416"/>
    <w:rsid w:val="00681D54"/>
    <w:rsid w:val="006A0EE9"/>
    <w:rsid w:val="006A7952"/>
    <w:rsid w:val="006B3B9E"/>
    <w:rsid w:val="006B6642"/>
    <w:rsid w:val="006C4054"/>
    <w:rsid w:val="006C555A"/>
    <w:rsid w:val="006D3D38"/>
    <w:rsid w:val="006D3F0D"/>
    <w:rsid w:val="006D40DD"/>
    <w:rsid w:val="006E2A46"/>
    <w:rsid w:val="006E4AD2"/>
    <w:rsid w:val="006E5486"/>
    <w:rsid w:val="006F2653"/>
    <w:rsid w:val="007059C7"/>
    <w:rsid w:val="007109D4"/>
    <w:rsid w:val="0071141B"/>
    <w:rsid w:val="00717710"/>
    <w:rsid w:val="007224F6"/>
    <w:rsid w:val="0073077D"/>
    <w:rsid w:val="00730E15"/>
    <w:rsid w:val="007370A2"/>
    <w:rsid w:val="00746703"/>
    <w:rsid w:val="00752FB2"/>
    <w:rsid w:val="007610CA"/>
    <w:rsid w:val="00767E22"/>
    <w:rsid w:val="00770185"/>
    <w:rsid w:val="007742C3"/>
    <w:rsid w:val="0078188A"/>
    <w:rsid w:val="007A1CDB"/>
    <w:rsid w:val="007A2226"/>
    <w:rsid w:val="007A2F23"/>
    <w:rsid w:val="007A6674"/>
    <w:rsid w:val="007B2906"/>
    <w:rsid w:val="007D5E46"/>
    <w:rsid w:val="007E6BF6"/>
    <w:rsid w:val="007E6FC7"/>
    <w:rsid w:val="008013BF"/>
    <w:rsid w:val="0081723B"/>
    <w:rsid w:val="00832FCB"/>
    <w:rsid w:val="0083603B"/>
    <w:rsid w:val="008456F8"/>
    <w:rsid w:val="008465D9"/>
    <w:rsid w:val="00855A5A"/>
    <w:rsid w:val="00882860"/>
    <w:rsid w:val="00885224"/>
    <w:rsid w:val="00895D48"/>
    <w:rsid w:val="00896499"/>
    <w:rsid w:val="008A1756"/>
    <w:rsid w:val="008D052C"/>
    <w:rsid w:val="008E69F2"/>
    <w:rsid w:val="008E6CD0"/>
    <w:rsid w:val="008F3642"/>
    <w:rsid w:val="008F3C41"/>
    <w:rsid w:val="0090182A"/>
    <w:rsid w:val="0091132E"/>
    <w:rsid w:val="00914C66"/>
    <w:rsid w:val="009245A9"/>
    <w:rsid w:val="009300FD"/>
    <w:rsid w:val="009341F1"/>
    <w:rsid w:val="00937F16"/>
    <w:rsid w:val="00951739"/>
    <w:rsid w:val="00980B52"/>
    <w:rsid w:val="00982002"/>
    <w:rsid w:val="0099159B"/>
    <w:rsid w:val="009A053E"/>
    <w:rsid w:val="009B1CFC"/>
    <w:rsid w:val="009B5B98"/>
    <w:rsid w:val="009B7057"/>
    <w:rsid w:val="009B7CC3"/>
    <w:rsid w:val="009C4238"/>
    <w:rsid w:val="009D5AB9"/>
    <w:rsid w:val="009D6747"/>
    <w:rsid w:val="009F0BE1"/>
    <w:rsid w:val="00A01C96"/>
    <w:rsid w:val="00A05D93"/>
    <w:rsid w:val="00A27F02"/>
    <w:rsid w:val="00A307AC"/>
    <w:rsid w:val="00A336DE"/>
    <w:rsid w:val="00A418CF"/>
    <w:rsid w:val="00A6463E"/>
    <w:rsid w:val="00A70B2E"/>
    <w:rsid w:val="00A73662"/>
    <w:rsid w:val="00A8614B"/>
    <w:rsid w:val="00A93123"/>
    <w:rsid w:val="00AA442C"/>
    <w:rsid w:val="00AA7FAD"/>
    <w:rsid w:val="00AC54AB"/>
    <w:rsid w:val="00AD6B31"/>
    <w:rsid w:val="00AE3E73"/>
    <w:rsid w:val="00AF7E72"/>
    <w:rsid w:val="00B01132"/>
    <w:rsid w:val="00B01D16"/>
    <w:rsid w:val="00B35B2E"/>
    <w:rsid w:val="00B42382"/>
    <w:rsid w:val="00B54564"/>
    <w:rsid w:val="00B91D2D"/>
    <w:rsid w:val="00BA5B87"/>
    <w:rsid w:val="00BA7ECD"/>
    <w:rsid w:val="00BD4B60"/>
    <w:rsid w:val="00BE2354"/>
    <w:rsid w:val="00BE51A6"/>
    <w:rsid w:val="00BF60C8"/>
    <w:rsid w:val="00C01433"/>
    <w:rsid w:val="00C029A9"/>
    <w:rsid w:val="00C03AE9"/>
    <w:rsid w:val="00C105CE"/>
    <w:rsid w:val="00C233E6"/>
    <w:rsid w:val="00C2606D"/>
    <w:rsid w:val="00C40CD2"/>
    <w:rsid w:val="00C61F87"/>
    <w:rsid w:val="00C6701D"/>
    <w:rsid w:val="00C73CEE"/>
    <w:rsid w:val="00CA3C15"/>
    <w:rsid w:val="00CA3E29"/>
    <w:rsid w:val="00CA6FE6"/>
    <w:rsid w:val="00CC19B3"/>
    <w:rsid w:val="00CE28B2"/>
    <w:rsid w:val="00CF46DE"/>
    <w:rsid w:val="00D21197"/>
    <w:rsid w:val="00D27C64"/>
    <w:rsid w:val="00D41859"/>
    <w:rsid w:val="00D42417"/>
    <w:rsid w:val="00D70C50"/>
    <w:rsid w:val="00D80032"/>
    <w:rsid w:val="00D829FF"/>
    <w:rsid w:val="00D94552"/>
    <w:rsid w:val="00DA026D"/>
    <w:rsid w:val="00DC18C0"/>
    <w:rsid w:val="00DD13E1"/>
    <w:rsid w:val="00DD4702"/>
    <w:rsid w:val="00DD741A"/>
    <w:rsid w:val="00DF14FA"/>
    <w:rsid w:val="00DF7D07"/>
    <w:rsid w:val="00E004E9"/>
    <w:rsid w:val="00E06177"/>
    <w:rsid w:val="00E11401"/>
    <w:rsid w:val="00E14A3F"/>
    <w:rsid w:val="00E2384B"/>
    <w:rsid w:val="00E23E43"/>
    <w:rsid w:val="00E269FA"/>
    <w:rsid w:val="00E5111B"/>
    <w:rsid w:val="00E55D70"/>
    <w:rsid w:val="00E72621"/>
    <w:rsid w:val="00E744FC"/>
    <w:rsid w:val="00E8192A"/>
    <w:rsid w:val="00E85B15"/>
    <w:rsid w:val="00EB6D8B"/>
    <w:rsid w:val="00EC1703"/>
    <w:rsid w:val="00EE7ED4"/>
    <w:rsid w:val="00F16166"/>
    <w:rsid w:val="00F16E5E"/>
    <w:rsid w:val="00F16F08"/>
    <w:rsid w:val="00F2375A"/>
    <w:rsid w:val="00F35330"/>
    <w:rsid w:val="00F369CD"/>
    <w:rsid w:val="00F47A2E"/>
    <w:rsid w:val="00F73B14"/>
    <w:rsid w:val="00F75F93"/>
    <w:rsid w:val="00F8160F"/>
    <w:rsid w:val="00F9093C"/>
    <w:rsid w:val="00FA6370"/>
    <w:rsid w:val="00FB1CCE"/>
    <w:rsid w:val="00FC59D0"/>
    <w:rsid w:val="00FD2269"/>
    <w:rsid w:val="00FE0F83"/>
    <w:rsid w:val="00FE1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chartTrackingRefBased/>
  <w15:docId w15:val="{4FCB9FF4-DB00-124E-9930-61195F473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012E48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List,Párrafo dentro,Normal N3,Arial 8,Bullet,Párrafo de lista11,List Paragraph1,Lista1,Párrafo de lista - cat,Resume Title,Dot pt,No Spacing1,List Paragraph Char Char Char,Indicator Text,Numbered Para 1,Bullet Points,MAIN CONTENT,b1,K1"/>
    <w:basedOn w:val="Normal"/>
    <w:link w:val="PrrafodelistaCar"/>
    <w:uiPriority w:val="34"/>
    <w:qFormat/>
    <w:rsid w:val="00560D85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CF46D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F46DE"/>
  </w:style>
  <w:style w:type="character" w:styleId="Nmerodepgina">
    <w:name w:val="page number"/>
    <w:basedOn w:val="Fuentedeprrafopredeter"/>
    <w:uiPriority w:val="99"/>
    <w:semiHidden/>
    <w:unhideWhenUsed/>
    <w:rsid w:val="00CF46DE"/>
  </w:style>
  <w:style w:type="paragraph" w:styleId="Textodeglobo">
    <w:name w:val="Balloon Text"/>
    <w:basedOn w:val="Normal"/>
    <w:link w:val="TextodegloboCar"/>
    <w:uiPriority w:val="99"/>
    <w:semiHidden/>
    <w:unhideWhenUsed/>
    <w:rsid w:val="008A175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175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895D4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95D48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95D4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95D4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95D48"/>
    <w:rPr>
      <w:b/>
      <w:bCs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914C66"/>
    <w:rPr>
      <w:color w:val="0563C1" w:themeColor="hyperlink"/>
      <w:u w:val="single"/>
    </w:rPr>
  </w:style>
  <w:style w:type="paragraph" w:styleId="Revisin">
    <w:name w:val="Revision"/>
    <w:hidden/>
    <w:uiPriority w:val="99"/>
    <w:semiHidden/>
    <w:rsid w:val="002B48B5"/>
  </w:style>
  <w:style w:type="paragraph" w:customStyle="1" w:styleId="04Prrafonormalyguin">
    <w:name w:val="04 Párrafo normal y guión"/>
    <w:basedOn w:val="Normal"/>
    <w:link w:val="04PrrafonormalyguinCar"/>
    <w:rsid w:val="009D5AB9"/>
    <w:pPr>
      <w:tabs>
        <w:tab w:val="left" w:pos="1560"/>
      </w:tabs>
      <w:spacing w:before="120" w:after="120" w:line="360" w:lineRule="exact"/>
      <w:ind w:firstLine="1134"/>
      <w:jc w:val="both"/>
    </w:pPr>
    <w:rPr>
      <w:rFonts w:ascii="Arial" w:eastAsia="Times New Roman" w:hAnsi="Arial" w:cs="Arial"/>
      <w:sz w:val="22"/>
      <w:szCs w:val="22"/>
      <w:lang w:val="es-ES_tradnl" w:eastAsia="es-ES"/>
    </w:rPr>
  </w:style>
  <w:style w:type="paragraph" w:customStyle="1" w:styleId="02Nombreprograma">
    <w:name w:val="02 Nombre programa"/>
    <w:basedOn w:val="Normal"/>
    <w:rsid w:val="009D5AB9"/>
    <w:pPr>
      <w:tabs>
        <w:tab w:val="center" w:pos="4320"/>
      </w:tabs>
      <w:spacing w:before="120" w:after="120" w:line="360" w:lineRule="atLeast"/>
      <w:jc w:val="center"/>
    </w:pPr>
    <w:rPr>
      <w:rFonts w:ascii="Arial" w:eastAsia="Times New Roman" w:hAnsi="Arial" w:cs="Times New Roman"/>
      <w:b/>
      <w:caps/>
      <w:sz w:val="22"/>
      <w:szCs w:val="20"/>
      <w:u w:val="single"/>
      <w:lang w:val="es-ES_tradnl" w:eastAsia="es-ES"/>
    </w:rPr>
  </w:style>
  <w:style w:type="paragraph" w:customStyle="1" w:styleId="03Descripcin">
    <w:name w:val="03 Descripción"/>
    <w:basedOn w:val="Normal"/>
    <w:rsid w:val="009D5AB9"/>
    <w:pPr>
      <w:spacing w:before="960" w:after="120" w:line="360" w:lineRule="atLeast"/>
      <w:ind w:left="425" w:hanging="425"/>
    </w:pPr>
    <w:rPr>
      <w:rFonts w:ascii="Arial" w:eastAsia="Times New Roman" w:hAnsi="Arial" w:cs="Times New Roman"/>
      <w:b/>
      <w:caps/>
      <w:sz w:val="22"/>
      <w:szCs w:val="20"/>
      <w:lang w:val="es-ES_tradnl" w:eastAsia="es-ES"/>
    </w:rPr>
  </w:style>
  <w:style w:type="paragraph" w:customStyle="1" w:styleId="01NPrograma">
    <w:name w:val="01 Nº Programa"/>
    <w:basedOn w:val="Normal"/>
    <w:rsid w:val="009D5AB9"/>
    <w:pPr>
      <w:spacing w:before="120" w:after="600"/>
      <w:jc w:val="center"/>
    </w:pPr>
    <w:rPr>
      <w:rFonts w:ascii="Arial" w:eastAsia="Times New Roman" w:hAnsi="Arial" w:cs="Times New Roman"/>
      <w:b/>
      <w:caps/>
      <w:sz w:val="22"/>
      <w:szCs w:val="20"/>
      <w:u w:val="single"/>
      <w:lang w:val="es-ES_tradnl" w:eastAsia="es-ES"/>
    </w:rPr>
  </w:style>
  <w:style w:type="character" w:customStyle="1" w:styleId="04PrrafonormalyguinCar">
    <w:name w:val="04 Párrafo normal y guión Car"/>
    <w:link w:val="04Prrafonormalyguin"/>
    <w:rsid w:val="00597092"/>
    <w:rPr>
      <w:rFonts w:ascii="Arial" w:eastAsia="Times New Roman" w:hAnsi="Arial" w:cs="Arial"/>
      <w:sz w:val="22"/>
      <w:szCs w:val="22"/>
      <w:lang w:val="es-ES_tradnl" w:eastAsia="es-ES"/>
    </w:rPr>
  </w:style>
  <w:style w:type="paragraph" w:customStyle="1" w:styleId="tabla">
    <w:name w:val="tabla"/>
    <w:basedOn w:val="Normal"/>
    <w:link w:val="tablaCar"/>
    <w:rsid w:val="00597092"/>
    <w:pPr>
      <w:spacing w:before="60" w:after="60" w:line="320" w:lineRule="atLeast"/>
      <w:jc w:val="center"/>
    </w:pPr>
    <w:rPr>
      <w:rFonts w:ascii="Arial" w:eastAsia="Times New Roman" w:hAnsi="Arial" w:cs="Times New Roman"/>
      <w:sz w:val="20"/>
      <w:szCs w:val="20"/>
      <w:lang w:val="es-ES_tradnl" w:eastAsia="es-ES"/>
    </w:rPr>
  </w:style>
  <w:style w:type="character" w:customStyle="1" w:styleId="tablaCar">
    <w:name w:val="tabla Car"/>
    <w:link w:val="tabla"/>
    <w:rsid w:val="00597092"/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Sangra3detindependiente">
    <w:name w:val="Body Text Indent 3"/>
    <w:basedOn w:val="Normal"/>
    <w:link w:val="Sangra3detindependienteCar"/>
    <w:rsid w:val="00442931"/>
    <w:pPr>
      <w:spacing w:after="120"/>
      <w:ind w:left="283"/>
    </w:pPr>
    <w:rPr>
      <w:rFonts w:ascii="CG Times (W1)" w:eastAsia="Times New Roman" w:hAnsi="CG Times (W1)" w:cs="Times New Roman"/>
      <w:sz w:val="16"/>
      <w:szCs w:val="16"/>
      <w:lang w:val="es-ES_tradnl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442931"/>
    <w:rPr>
      <w:rFonts w:ascii="CG Times (W1)" w:eastAsia="Times New Roman" w:hAnsi="CG Times (W1)" w:cs="Times New Roman"/>
      <w:sz w:val="16"/>
      <w:szCs w:val="16"/>
      <w:lang w:val="es-ES_tradnl" w:eastAsia="es-ES"/>
    </w:rPr>
  </w:style>
  <w:style w:type="paragraph" w:customStyle="1" w:styleId="Activid-Obj-Indicador">
    <w:name w:val="Activid.-Obj.-Indicador."/>
    <w:basedOn w:val="Normal"/>
    <w:rsid w:val="00832FCB"/>
    <w:pPr>
      <w:tabs>
        <w:tab w:val="left" w:pos="426"/>
      </w:tabs>
      <w:spacing w:before="720" w:after="120" w:line="360" w:lineRule="atLeast"/>
      <w:jc w:val="both"/>
    </w:pPr>
    <w:rPr>
      <w:rFonts w:ascii="Times New Roman" w:eastAsia="Times New Roman" w:hAnsi="Times New Roman" w:cs="Times New Roman"/>
      <w:b/>
      <w:szCs w:val="20"/>
      <w:lang w:val="es-ES_tradnl" w:eastAsia="es-ES"/>
    </w:rPr>
  </w:style>
  <w:style w:type="paragraph" w:customStyle="1" w:styleId="NObjetivo">
    <w:name w:val="Nº. Objetivo"/>
    <w:basedOn w:val="Normal"/>
    <w:rsid w:val="00832FCB"/>
    <w:pPr>
      <w:spacing w:before="120" w:after="120" w:line="360" w:lineRule="atLeast"/>
      <w:ind w:firstLine="1134"/>
      <w:jc w:val="both"/>
    </w:pPr>
    <w:rPr>
      <w:rFonts w:ascii="Times New Roman" w:eastAsia="Times New Roman" w:hAnsi="Times New Roman" w:cs="Times New Roman"/>
      <w:b/>
      <w:szCs w:val="20"/>
      <w:lang w:val="es-ES_tradnl" w:eastAsia="es-ES"/>
    </w:rPr>
  </w:style>
  <w:style w:type="paragraph" w:customStyle="1" w:styleId="21NombreObjetivos">
    <w:name w:val="21 Nombre Objetivos"/>
    <w:basedOn w:val="Normal"/>
    <w:rsid w:val="00E14A3F"/>
    <w:pPr>
      <w:spacing w:before="60" w:after="60"/>
      <w:ind w:left="326" w:hanging="326"/>
      <w:jc w:val="both"/>
    </w:pPr>
    <w:rPr>
      <w:rFonts w:ascii="Arial" w:eastAsia="Times New Roman" w:hAnsi="Arial" w:cs="Times New Roman"/>
      <w:b/>
      <w:bCs/>
      <w:sz w:val="17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4C570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C5704"/>
  </w:style>
  <w:style w:type="paragraph" w:customStyle="1" w:styleId="05Activid-Obj-Indicador">
    <w:name w:val="05 Activid.-Obj.-Indicador."/>
    <w:basedOn w:val="Normal"/>
    <w:rsid w:val="001526B2"/>
    <w:pPr>
      <w:tabs>
        <w:tab w:val="left" w:pos="426"/>
      </w:tabs>
      <w:spacing w:before="720" w:after="120" w:line="360" w:lineRule="atLeast"/>
      <w:jc w:val="both"/>
    </w:pPr>
    <w:rPr>
      <w:rFonts w:ascii="Arial" w:eastAsia="Times New Roman" w:hAnsi="Arial" w:cs="Times New Roman"/>
      <w:b/>
      <w:sz w:val="22"/>
      <w:szCs w:val="20"/>
      <w:lang w:val="es-ES_tradnl" w:eastAsia="es-ES"/>
    </w:rPr>
  </w:style>
  <w:style w:type="table" w:customStyle="1" w:styleId="TableNormal">
    <w:name w:val="Table Normal"/>
    <w:uiPriority w:val="2"/>
    <w:semiHidden/>
    <w:unhideWhenUsed/>
    <w:qFormat/>
    <w:rsid w:val="00394E49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94E49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en-US"/>
    </w:rPr>
  </w:style>
  <w:style w:type="table" w:styleId="Tablaconcuadrcula">
    <w:name w:val="Table Grid"/>
    <w:basedOn w:val="Tablanormal"/>
    <w:uiPriority w:val="39"/>
    <w:rsid w:val="00394E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Car,Párrafo dentro Car,Normal N3 Car,Arial 8 Car,Bullet Car,Párrafo de lista11 Car,List Paragraph1 Car,Lista1 Car,Párrafo de lista - cat Car,Resume Title Car,Dot pt Car,No Spacing1 Car,List Paragraph Char Char Char Car,b1 Car"/>
    <w:link w:val="Prrafodelista"/>
    <w:uiPriority w:val="34"/>
    <w:qFormat/>
    <w:rsid w:val="006B3B9E"/>
  </w:style>
  <w:style w:type="paragraph" w:customStyle="1" w:styleId="VietaNivel1">
    <w:name w:val="Viñeta Nivel 1"/>
    <w:basedOn w:val="Normal"/>
    <w:uiPriority w:val="2"/>
    <w:qFormat/>
    <w:rsid w:val="00A8614B"/>
    <w:pPr>
      <w:numPr>
        <w:numId w:val="2"/>
      </w:numPr>
      <w:spacing w:after="160" w:line="276" w:lineRule="auto"/>
      <w:jc w:val="both"/>
    </w:pPr>
    <w:rPr>
      <w:rFonts w:asciiTheme="majorHAnsi" w:hAnsiTheme="majorHAnsi"/>
      <w:sz w:val="22"/>
      <w:szCs w:val="20"/>
    </w:rPr>
  </w:style>
  <w:style w:type="paragraph" w:customStyle="1" w:styleId="VietaNivel2">
    <w:name w:val="Viñeta Nivel 2"/>
    <w:basedOn w:val="Normal"/>
    <w:uiPriority w:val="2"/>
    <w:qFormat/>
    <w:rsid w:val="00A8614B"/>
    <w:pPr>
      <w:numPr>
        <w:ilvl w:val="1"/>
        <w:numId w:val="2"/>
      </w:numPr>
      <w:spacing w:after="160" w:line="276" w:lineRule="auto"/>
      <w:jc w:val="both"/>
    </w:pPr>
    <w:rPr>
      <w:rFonts w:asciiTheme="majorHAnsi" w:hAnsiTheme="majorHAnsi"/>
      <w:sz w:val="22"/>
      <w:szCs w:val="20"/>
    </w:rPr>
  </w:style>
  <w:style w:type="paragraph" w:customStyle="1" w:styleId="VietaNivel3">
    <w:name w:val="Viñeta Nivel 3"/>
    <w:basedOn w:val="Normal"/>
    <w:uiPriority w:val="2"/>
    <w:qFormat/>
    <w:rsid w:val="00A8614B"/>
    <w:pPr>
      <w:numPr>
        <w:ilvl w:val="2"/>
        <w:numId w:val="2"/>
      </w:numPr>
      <w:spacing w:after="160" w:line="276" w:lineRule="auto"/>
      <w:jc w:val="both"/>
    </w:pPr>
    <w:rPr>
      <w:rFonts w:asciiTheme="majorHAnsi" w:hAnsiTheme="majorHAnsi"/>
      <w:sz w:val="22"/>
      <w:szCs w:val="20"/>
    </w:rPr>
  </w:style>
  <w:style w:type="paragraph" w:customStyle="1" w:styleId="VietaNivel5">
    <w:name w:val="Viñeta Nivel 5"/>
    <w:basedOn w:val="Normal"/>
    <w:uiPriority w:val="2"/>
    <w:rsid w:val="00A8614B"/>
    <w:pPr>
      <w:numPr>
        <w:ilvl w:val="4"/>
        <w:numId w:val="2"/>
      </w:numPr>
      <w:spacing w:after="160" w:line="276" w:lineRule="auto"/>
      <w:jc w:val="both"/>
    </w:pPr>
    <w:rPr>
      <w:rFonts w:asciiTheme="majorHAnsi" w:hAnsiTheme="majorHAnsi"/>
      <w:sz w:val="22"/>
      <w:szCs w:val="20"/>
    </w:rPr>
  </w:style>
  <w:style w:type="paragraph" w:customStyle="1" w:styleId="VietaNivel6">
    <w:name w:val="Viñeta Nivel 6"/>
    <w:basedOn w:val="Normal"/>
    <w:uiPriority w:val="2"/>
    <w:rsid w:val="00A8614B"/>
    <w:pPr>
      <w:numPr>
        <w:ilvl w:val="5"/>
        <w:numId w:val="2"/>
      </w:numPr>
      <w:spacing w:after="160" w:line="276" w:lineRule="auto"/>
      <w:jc w:val="both"/>
    </w:pPr>
    <w:rPr>
      <w:rFonts w:asciiTheme="majorHAnsi" w:hAnsiTheme="majorHAnsi"/>
      <w:color w:val="000000" w:themeColor="text1" w:themeShade="80"/>
      <w:sz w:val="22"/>
      <w:szCs w:val="20"/>
    </w:rPr>
  </w:style>
  <w:style w:type="paragraph" w:customStyle="1" w:styleId="VietaNivel7">
    <w:name w:val="Viñeta Nivel 7"/>
    <w:basedOn w:val="Normal"/>
    <w:uiPriority w:val="2"/>
    <w:rsid w:val="00A8614B"/>
    <w:pPr>
      <w:numPr>
        <w:ilvl w:val="6"/>
        <w:numId w:val="2"/>
      </w:numPr>
      <w:spacing w:after="160" w:line="276" w:lineRule="auto"/>
      <w:jc w:val="both"/>
    </w:pPr>
    <w:rPr>
      <w:rFonts w:asciiTheme="majorHAnsi" w:hAnsiTheme="majorHAnsi"/>
      <w:sz w:val="22"/>
      <w:szCs w:val="20"/>
    </w:rPr>
  </w:style>
  <w:style w:type="paragraph" w:customStyle="1" w:styleId="VietaNivel8">
    <w:name w:val="Viñeta Nivel 8"/>
    <w:basedOn w:val="Normal"/>
    <w:uiPriority w:val="2"/>
    <w:rsid w:val="00A8614B"/>
    <w:pPr>
      <w:numPr>
        <w:ilvl w:val="7"/>
        <w:numId w:val="2"/>
      </w:numPr>
      <w:spacing w:after="160" w:line="276" w:lineRule="auto"/>
      <w:jc w:val="both"/>
    </w:pPr>
    <w:rPr>
      <w:rFonts w:asciiTheme="majorHAnsi" w:hAnsiTheme="majorHAnsi"/>
      <w:color w:val="000000" w:themeColor="text1" w:themeShade="80"/>
      <w:sz w:val="22"/>
      <w:szCs w:val="20"/>
    </w:rPr>
  </w:style>
  <w:style w:type="paragraph" w:customStyle="1" w:styleId="VietaNivel9">
    <w:name w:val="Viñeta Nivel 9"/>
    <w:basedOn w:val="Normal"/>
    <w:uiPriority w:val="2"/>
    <w:rsid w:val="00A8614B"/>
    <w:pPr>
      <w:numPr>
        <w:ilvl w:val="8"/>
        <w:numId w:val="2"/>
      </w:numPr>
      <w:spacing w:after="160" w:line="276" w:lineRule="auto"/>
      <w:jc w:val="both"/>
    </w:pPr>
    <w:rPr>
      <w:rFonts w:asciiTheme="majorHAnsi" w:hAnsiTheme="majorHAnsi"/>
      <w:color w:val="000000" w:themeColor="text1" w:themeShade="80"/>
      <w:sz w:val="22"/>
      <w:szCs w:val="20"/>
    </w:rPr>
  </w:style>
  <w:style w:type="paragraph" w:customStyle="1" w:styleId="VietaNivel4">
    <w:name w:val="Viñeta Nivel 4"/>
    <w:basedOn w:val="Normal"/>
    <w:uiPriority w:val="2"/>
    <w:qFormat/>
    <w:rsid w:val="00A8614B"/>
    <w:pPr>
      <w:numPr>
        <w:ilvl w:val="3"/>
        <w:numId w:val="2"/>
      </w:numPr>
      <w:spacing w:after="160" w:line="276" w:lineRule="auto"/>
      <w:jc w:val="both"/>
    </w:pPr>
    <w:rPr>
      <w:rFonts w:asciiTheme="majorHAnsi" w:hAnsiTheme="majorHAnsi"/>
      <w:sz w:val="22"/>
      <w:szCs w:val="20"/>
    </w:rPr>
  </w:style>
  <w:style w:type="paragraph" w:customStyle="1" w:styleId="Bullet1">
    <w:name w:val="Bullet 1"/>
    <w:basedOn w:val="Normal"/>
    <w:link w:val="Bullet1Char"/>
    <w:qFormat/>
    <w:rsid w:val="00185246"/>
    <w:pPr>
      <w:numPr>
        <w:numId w:val="3"/>
      </w:numPr>
      <w:spacing w:before="120" w:after="120"/>
    </w:pPr>
    <w:rPr>
      <w:rFonts w:eastAsia="Arial" w:cstheme="minorHAnsi"/>
      <w:bCs/>
      <w:iCs/>
    </w:rPr>
  </w:style>
  <w:style w:type="character" w:customStyle="1" w:styleId="Bullet1Char">
    <w:name w:val="Bullet 1 Char"/>
    <w:basedOn w:val="Fuentedeprrafopredeter"/>
    <w:link w:val="Bullet1"/>
    <w:rsid w:val="00185246"/>
    <w:rPr>
      <w:rFonts w:eastAsia="Arial" w:cstheme="minorHAnsi"/>
      <w:bCs/>
      <w:iCs/>
    </w:rPr>
  </w:style>
  <w:style w:type="character" w:customStyle="1" w:styleId="Ttulo3Car">
    <w:name w:val="Título 3 Car"/>
    <w:basedOn w:val="Fuentedeprrafopredeter"/>
    <w:link w:val="Ttulo3"/>
    <w:uiPriority w:val="9"/>
    <w:rsid w:val="00012E48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Bulletnmeros">
    <w:name w:val="Bullet números"/>
    <w:basedOn w:val="Bullet1"/>
    <w:link w:val="BulletnmerosChar"/>
    <w:qFormat/>
    <w:rsid w:val="000362BB"/>
    <w:pPr>
      <w:numPr>
        <w:numId w:val="4"/>
      </w:numPr>
    </w:pPr>
  </w:style>
  <w:style w:type="character" w:customStyle="1" w:styleId="BulletnmerosChar">
    <w:name w:val="Bullet números Char"/>
    <w:basedOn w:val="Bullet1Char"/>
    <w:link w:val="Bulletnmeros"/>
    <w:rsid w:val="000362BB"/>
    <w:rPr>
      <w:rFonts w:eastAsia="Arial" w:cstheme="minorHAnsi"/>
      <w:bCs/>
      <w:iCs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F35330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35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522AA42-EA69-4B6B-9680-24ABC74AE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1078</Words>
  <Characters>5933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Israel Pastor</dc:creator>
  <cp:keywords/>
  <dc:description/>
  <cp:lastModifiedBy>Gilarranz Cristóbal, Mercedes</cp:lastModifiedBy>
  <cp:revision>14</cp:revision>
  <cp:lastPrinted>2021-06-30T14:09:00Z</cp:lastPrinted>
  <dcterms:created xsi:type="dcterms:W3CDTF">2021-07-07T16:17:00Z</dcterms:created>
  <dcterms:modified xsi:type="dcterms:W3CDTF">2022-06-13T11:08:00Z</dcterms:modified>
</cp:coreProperties>
</file>